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F4D9" w14:textId="77777777" w:rsidR="00333061" w:rsidRDefault="00333061" w:rsidP="00333061"/>
    <w:p w14:paraId="6574AC62" w14:textId="5B662924" w:rsidR="001732EC" w:rsidRPr="00A82815" w:rsidRDefault="002F2307" w:rsidP="00A82815">
      <w:pPr>
        <w:pStyle w:val="Heading1"/>
      </w:pPr>
      <w:bookmarkStart w:id="0" w:name="_Toc135690280"/>
      <w:bookmarkStart w:id="1" w:name="_Toc135723976"/>
      <w:r w:rsidRPr="00A82815">
        <w:t>R</w:t>
      </w:r>
      <w:r w:rsidR="006D5605" w:rsidRPr="00A82815">
        <w:t>ole description</w:t>
      </w:r>
    </w:p>
    <w:p w14:paraId="404232A2" w14:textId="00C60FC0" w:rsidR="0046415C" w:rsidRPr="00B315E0" w:rsidRDefault="0046415C" w:rsidP="0046415C">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887EEB">
        <w:rPr>
          <w:rFonts w:ascii="Lexend Deca Light" w:hAnsi="Lexend Deca Light"/>
          <w:color w:val="00407B"/>
          <w:sz w:val="32"/>
          <w:szCs w:val="32"/>
          <w:lang w:val="en-US"/>
        </w:rPr>
        <w:t>trustees in an</w:t>
      </w:r>
      <w:r w:rsidRPr="00B315E0">
        <w:rPr>
          <w:rFonts w:ascii="Lexend Deca Light" w:hAnsi="Lexend Deca Light"/>
          <w:color w:val="00407B"/>
          <w:sz w:val="32"/>
          <w:szCs w:val="32"/>
          <w:lang w:val="en-US"/>
        </w:rPr>
        <w:t xml:space="preserve"> academy trust</w:t>
      </w:r>
    </w:p>
    <w:p w14:paraId="469D4931" w14:textId="1F24C8F3" w:rsidR="0046415C" w:rsidRDefault="003E60BF" w:rsidP="0046415C">
      <w:pPr>
        <w:rPr>
          <w:rFonts w:ascii="Lexend Deca Light" w:hAnsi="Lexend Deca Light"/>
          <w:color w:val="00407B"/>
          <w:sz w:val="24"/>
          <w:szCs w:val="24"/>
          <w:lang w:val="en-US"/>
        </w:rPr>
      </w:pPr>
      <w:r>
        <w:rPr>
          <w:rFonts w:ascii="Lexend Deca Light" w:hAnsi="Lexend Deca Light"/>
          <w:color w:val="00407B"/>
          <w:sz w:val="24"/>
          <w:szCs w:val="24"/>
          <w:lang w:val="en-US"/>
        </w:rPr>
        <w:t xml:space="preserve">Updated </w:t>
      </w:r>
      <w:r w:rsidR="00A82815">
        <w:rPr>
          <w:rFonts w:ascii="Lexend Deca Light" w:hAnsi="Lexend Deca Light"/>
          <w:color w:val="00407B"/>
          <w:sz w:val="24"/>
          <w:szCs w:val="24"/>
          <w:lang w:val="en-US"/>
        </w:rPr>
        <w:t>April</w:t>
      </w:r>
      <w:r>
        <w:rPr>
          <w:rFonts w:ascii="Lexend Deca Light" w:hAnsi="Lexend Deca Light"/>
          <w:color w:val="00407B"/>
          <w:sz w:val="24"/>
          <w:szCs w:val="24"/>
          <w:lang w:val="en-US"/>
        </w:rPr>
        <w:t xml:space="preserve"> 202</w:t>
      </w:r>
      <w:r w:rsidR="00A82815">
        <w:rPr>
          <w:rFonts w:ascii="Lexend Deca Light" w:hAnsi="Lexend Deca Light"/>
          <w:color w:val="00407B"/>
          <w:sz w:val="24"/>
          <w:szCs w:val="24"/>
          <w:lang w:val="en-US"/>
        </w:rPr>
        <w:t>4</w:t>
      </w:r>
    </w:p>
    <w:p w14:paraId="44642744" w14:textId="334D5EEC" w:rsidR="00C66344" w:rsidRDefault="00C66344" w:rsidP="009133EB">
      <w:pPr>
        <w:pStyle w:val="Bodytext1"/>
      </w:pPr>
      <w:r>
        <w:rPr>
          <w:rFonts w:eastAsia="Calibri" w:cs="Calibri"/>
          <w:noProof/>
          <w:color w:val="2E2625"/>
          <w:szCs w:val="24"/>
          <w14:ligatures w14:val="standardContextual"/>
        </w:rPr>
        <mc:AlternateContent>
          <mc:Choice Requires="wps">
            <w:drawing>
              <wp:inline distT="0" distB="0" distL="0" distR="0" wp14:anchorId="3A3F6212" wp14:editId="2ACB18D0">
                <wp:extent cx="6124680" cy="1085850"/>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680" cy="1085850"/>
                        </a:xfrm>
                        <a:prstGeom prst="rect">
                          <a:avLst/>
                        </a:prstGeom>
                        <a:solidFill>
                          <a:schemeClr val="bg1">
                            <a:lumMod val="95000"/>
                          </a:schemeClr>
                        </a:solidFill>
                        <a:ln w="6350">
                          <a:noFill/>
                        </a:ln>
                      </wps:spPr>
                      <wps:txbx>
                        <w:txbxContent>
                          <w:p w14:paraId="7330DA3A" w14:textId="124410FB" w:rsidR="00C66344" w:rsidRDefault="00C66344" w:rsidP="001E2A51">
                            <w:pPr>
                              <w:pStyle w:val="Bodytext1"/>
                              <w:spacing w:before="0" w:after="0"/>
                            </w:pPr>
                            <w:r w:rsidRPr="002D1C80">
                              <w:t xml:space="preserve">This model role description should be adapted to suit the needs of your trust based on its size, governance arrangements and levels of delegation. It is neither definitive nor exhaustive but is intended as a guide for those wishing to clarify the role of </w:t>
                            </w:r>
                            <w:r>
                              <w:t>trustee.</w:t>
                            </w:r>
                          </w:p>
                          <w:p w14:paraId="349225F9" w14:textId="0877B394" w:rsidR="00C66344" w:rsidRPr="00246DA2" w:rsidRDefault="00C66344" w:rsidP="00C66344">
                            <w:pPr>
                              <w:pStyle w:val="Bodytext1"/>
                            </w:pPr>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w:pict>
              <v:shapetype w14:anchorId="3A3F6212" id="_x0000_t202" coordsize="21600,21600" o:spt="202" path="m,l,21600r21600,l21600,xe">
                <v:stroke joinstyle="miter"/>
                <v:path gradientshapeok="t" o:connecttype="rect"/>
              </v:shapetype>
              <v:shape id="Text Box 1092588002" o:spid="_x0000_s1026" type="#_x0000_t202" alt="Thank you for using the checklist&#10;If you have any feedback you’d like to share, please email kcfeedback@nga.org.uk&#10;" style="width:482.25pt;height: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" fillcolor="#f2f2f2 [3052]" stroked="f" strokeweight=".5pt">
                <v:textbox inset="10mm,5mm,10mm,5mm">
                  <w:txbxContent>
                    <w:p w14:paraId="7330DA3A" w14:textId="124410FB" w:rsidR="00C66344" w:rsidRDefault="00C66344" w:rsidP="001E2A51">
                      <w:pPr>
                        <w:pStyle w:val="Bodytext1"/>
                        <w:spacing w:before="0" w:after="0"/>
                      </w:pPr>
                      <w:r w:rsidRPr="002D1C80">
                        <w:t xml:space="preserve">This model role description should be adapted to suit the needs of your trust based on its size, governance arrangements and levels of delegation. It is neither definitive nor exhaustive but is intended as a guide for those wishing to clarify the role of </w:t>
                      </w:r>
                      <w:r>
                        <w:t>trustee.</w:t>
                      </w:r>
                    </w:p>
                    <w:p w14:paraId="349225F9" w14:textId="0877B394" w:rsidR="00C66344" w:rsidRPr="00246DA2" w:rsidRDefault="00C66344" w:rsidP="00C66344">
                      <w:pPr>
                        <w:pStyle w:val="Bodytext1"/>
                      </w:pPr>
                    </w:p>
                  </w:txbxContent>
                </v:textbox>
                <w10:anchorlock/>
              </v:shape>
            </w:pict>
          </mc:Fallback>
        </mc:AlternateContent>
      </w:r>
    </w:p>
    <w:bookmarkStart w:id="2" w:name="_Toc61618332" w:displacedByCustomXml="next"/>
    <w:sdt>
      <w:sdtPr>
        <w:rPr>
          <w:rFonts w:asciiTheme="minorHAnsi" w:eastAsiaTheme="minorHAnsi" w:hAnsiTheme="minorHAnsi" w:cstheme="minorBidi"/>
          <w:b w:val="0"/>
          <w:bCs w:val="0"/>
          <w:color w:val="auto"/>
          <w:sz w:val="48"/>
          <w:szCs w:val="22"/>
        </w:rPr>
        <w:id w:val="262816799"/>
        <w:docPartObj>
          <w:docPartGallery w:val="Cover Pages"/>
          <w:docPartUnique/>
        </w:docPartObj>
      </w:sdtPr>
      <w:sdtEndPr>
        <w:rPr>
          <w:rStyle w:val="Heading2Char"/>
          <w:rFonts w:ascii="New Kansas SemiBold" w:eastAsiaTheme="majorEastAsia" w:hAnsi="New Kansas SemiBold" w:cstheme="majorBidi"/>
          <w:bCs/>
          <w:color w:val="00407B"/>
          <w:szCs w:val="26"/>
        </w:rPr>
      </w:sdtEndPr>
      <w:sdtContent>
        <w:bookmarkEnd w:id="2" w:displacedByCustomXml="prev"/>
        <w:p w14:paraId="7DE035D4" w14:textId="27B22E8C" w:rsidR="00CE1989" w:rsidRPr="00C66344" w:rsidRDefault="00C66344" w:rsidP="00261ECF">
          <w:pPr>
            <w:pStyle w:val="Boldemphasis"/>
            <w:spacing w:after="40"/>
            <w:rPr>
              <w:rStyle w:val="Heading2Char"/>
            </w:rPr>
          </w:pPr>
          <w:r w:rsidRPr="00C66344">
            <w:rPr>
              <w:rStyle w:val="Heading2Char"/>
            </w:rPr>
            <w:t>Role purpose</w:t>
          </w:r>
        </w:p>
      </w:sdtContent>
    </w:sdt>
    <w:bookmarkStart w:id="3" w:name="_Hlk48042485" w:displacedByCustomXml="prev"/>
    <w:p w14:paraId="1D7E0061" w14:textId="5DDD3C28" w:rsidR="00CE1989" w:rsidRPr="00F15E53" w:rsidRDefault="00CE1989" w:rsidP="00261ECF">
      <w:pPr>
        <w:pStyle w:val="Bodytext1"/>
        <w:spacing w:before="40"/>
      </w:pPr>
      <w:r>
        <w:t>Trustees</w:t>
      </w:r>
      <w:r w:rsidRPr="00F15E53">
        <w:t xml:space="preserve"> work together to </w:t>
      </w:r>
      <w:r w:rsidR="003E60BF">
        <w:t>fulfil the purpose of the trust board:</w:t>
      </w:r>
    </w:p>
    <w:p w14:paraId="5A52F749" w14:textId="77777777" w:rsidR="00B45F34" w:rsidRPr="007359D7" w:rsidRDefault="00B45F34" w:rsidP="001E2A51">
      <w:pPr>
        <w:pStyle w:val="Bodytextbullets"/>
        <w:rPr>
          <w:rFonts w:asciiTheme="minorHAnsi" w:hAnsiTheme="minorHAnsi"/>
        </w:rPr>
      </w:pPr>
      <w:bookmarkStart w:id="4" w:name="_Hlk48042526"/>
      <w:bookmarkEnd w:id="3"/>
      <w:r w:rsidRPr="007359D7">
        <w:rPr>
          <w:rFonts w:ascii="Lexend Deca SemiBold" w:hAnsi="Lexend Deca SemiBold"/>
        </w:rPr>
        <w:t>strategic leadership</w:t>
      </w:r>
      <w:r>
        <w:t xml:space="preserve"> – </w:t>
      </w:r>
      <w:r w:rsidRPr="007359D7">
        <w:t>defining</w:t>
      </w:r>
      <w:r>
        <w:t xml:space="preserve"> </w:t>
      </w:r>
      <w:r w:rsidRPr="007359D7">
        <w:t xml:space="preserve">the vision, fostering the trust’s culture and </w:t>
      </w:r>
      <w:r>
        <w:t>setting</w:t>
      </w:r>
      <w:r w:rsidRPr="007359D7">
        <w:t xml:space="preserve"> the strategy </w:t>
      </w:r>
    </w:p>
    <w:p w14:paraId="3BE58AE7" w14:textId="77777777" w:rsidR="00B45F34" w:rsidRPr="007359D7" w:rsidRDefault="00B45F34" w:rsidP="001E2A51">
      <w:pPr>
        <w:pStyle w:val="Bodytextbullets"/>
      </w:pPr>
      <w:r w:rsidRPr="007359D7">
        <w:rPr>
          <w:rFonts w:ascii="Lexend Deca SemiBold" w:hAnsi="Lexend Deca SemiBold"/>
        </w:rPr>
        <w:t>accountability and assurance</w:t>
      </w:r>
      <w:r>
        <w:t xml:space="preserve"> –</w:t>
      </w:r>
      <w:r w:rsidRPr="007359D7">
        <w:t xml:space="preserve"> robust</w:t>
      </w:r>
      <w:r>
        <w:t xml:space="preserve"> </w:t>
      </w:r>
      <w:r w:rsidRPr="007359D7">
        <w:t>and effective oversight of trust operations and performance</w:t>
      </w:r>
    </w:p>
    <w:p w14:paraId="700EA285" w14:textId="017821F4" w:rsidR="00B45F34" w:rsidRPr="007359D7" w:rsidRDefault="006C6B80" w:rsidP="001E2A51">
      <w:pPr>
        <w:pStyle w:val="Bodytextbullets"/>
        <w:rPr>
          <w:rFonts w:asciiTheme="minorHAnsi" w:hAnsiTheme="minorHAnsi"/>
        </w:rPr>
      </w:pPr>
      <w:r>
        <w:rPr>
          <w:rFonts w:ascii="Lexend Deca SemiBold" w:hAnsi="Lexend Deca SemiBold"/>
        </w:rPr>
        <w:t xml:space="preserve">strategic </w:t>
      </w:r>
      <w:r w:rsidR="00B45F34" w:rsidRPr="007359D7">
        <w:rPr>
          <w:rFonts w:ascii="Lexend Deca SemiBold" w:hAnsi="Lexend Deca SemiBold"/>
        </w:rPr>
        <w:t>engagement</w:t>
      </w:r>
      <w:r w:rsidR="00B45F34">
        <w:t xml:space="preserve"> –</w:t>
      </w:r>
      <w:r>
        <w:t xml:space="preserve"> </w:t>
      </w:r>
      <w:r w:rsidR="00B45F34" w:rsidRPr="007359D7">
        <w:t>oversight of relationships with stakeholders, ensuring decision-making is supported by meaningful engagement</w:t>
      </w:r>
    </w:p>
    <w:p w14:paraId="22DF1A2B" w14:textId="1B37B19C" w:rsidR="00CE1989" w:rsidRDefault="00CE1989" w:rsidP="001E2A51">
      <w:pPr>
        <w:pStyle w:val="Bodytext1"/>
        <w:spacing w:before="160"/>
        <w:rPr>
          <w:b/>
        </w:rPr>
      </w:pPr>
      <w:r w:rsidRPr="00F7490A">
        <w:t xml:space="preserve">Trustees are responsible for governing a charitable company and directing how it is managed and run. Trustees must also ensure that the trust complies with all legal and statutory requirements. Trustees should seek the advice of the board’s </w:t>
      </w:r>
      <w:hyperlink r:id="rId11" w:history="1">
        <w:r w:rsidRPr="006C35D4">
          <w:rPr>
            <w:rStyle w:val="Hyperlink"/>
          </w:rPr>
          <w:t>governance professional</w:t>
        </w:r>
      </w:hyperlink>
      <w:r w:rsidRPr="00F7490A">
        <w:t xml:space="preserve"> and other professional advice as appropriate.</w:t>
      </w:r>
    </w:p>
    <w:bookmarkEnd w:id="4"/>
    <w:p w14:paraId="63FB9FF0" w14:textId="77777777" w:rsidR="00CE1989" w:rsidRPr="00A82815" w:rsidRDefault="00CE1989" w:rsidP="00A82815">
      <w:pPr>
        <w:pStyle w:val="Heading3"/>
      </w:pPr>
      <w:r w:rsidRPr="00A82815">
        <w:t>The trust board’s strategic responsibilities</w:t>
      </w:r>
    </w:p>
    <w:p w14:paraId="47339C7E" w14:textId="77777777" w:rsidR="00CE1989" w:rsidRPr="00E32AFE" w:rsidRDefault="00CE1989" w:rsidP="001E2A51">
      <w:pPr>
        <w:pStyle w:val="Bodytext1"/>
        <w:spacing w:before="80"/>
      </w:pPr>
      <w:r w:rsidRPr="00C36DFD">
        <w:t xml:space="preserve">The </w:t>
      </w:r>
      <w:r>
        <w:t>trust board</w:t>
      </w:r>
      <w:r w:rsidRPr="00C36DFD">
        <w:t xml:space="preserve"> </w:t>
      </w:r>
      <w:r w:rsidRPr="00144ED9">
        <w:t>work</w:t>
      </w:r>
      <w:r>
        <w:t>s</w:t>
      </w:r>
      <w:r w:rsidRPr="00144ED9">
        <w:t xml:space="preserve"> closely with </w:t>
      </w:r>
      <w:r>
        <w:t xml:space="preserve">their </w:t>
      </w:r>
      <w:r w:rsidRPr="00466586">
        <w:t xml:space="preserve">senior executive leader. </w:t>
      </w:r>
      <w:r>
        <w:t>Senior executive leaders</w:t>
      </w:r>
      <w:r w:rsidRPr="00144ED9">
        <w:t xml:space="preserve"> are responsible for day</w:t>
      </w:r>
      <w:r>
        <w:t>-</w:t>
      </w:r>
      <w:r w:rsidRPr="00144ED9">
        <w:t>to</w:t>
      </w:r>
      <w:r>
        <w:t>-</w:t>
      </w:r>
      <w:r w:rsidRPr="00144ED9">
        <w:t>day operational management</w:t>
      </w:r>
      <w:r>
        <w:t xml:space="preserve"> of the trust and its schools, whereas the</w:t>
      </w:r>
      <w:r w:rsidRPr="00CB566F">
        <w:t xml:space="preserve"> </w:t>
      </w:r>
      <w:r>
        <w:t>role of the board is strategic. As such, trustees are responsible for:</w:t>
      </w:r>
    </w:p>
    <w:p w14:paraId="2207739A" w14:textId="77777777" w:rsidR="00CE1989" w:rsidRDefault="00CE1989" w:rsidP="00E47648">
      <w:pPr>
        <w:pStyle w:val="Bodytextbullets"/>
      </w:pPr>
      <w:r w:rsidRPr="00CB566F">
        <w:t>d</w:t>
      </w:r>
      <w:r>
        <w:t>etermining</w:t>
      </w:r>
      <w:r w:rsidRPr="00CB566F">
        <w:t xml:space="preserve"> the </w:t>
      </w:r>
      <w:r>
        <w:t xml:space="preserve">mission, </w:t>
      </w:r>
      <w:r w:rsidRPr="00CB566F">
        <w:t xml:space="preserve">values and </w:t>
      </w:r>
      <w:r>
        <w:t xml:space="preserve">long-term ambitious </w:t>
      </w:r>
      <w:r w:rsidRPr="00CB566F">
        <w:t xml:space="preserve">vision </w:t>
      </w:r>
      <w:r>
        <w:t>for</w:t>
      </w:r>
      <w:r w:rsidRPr="00CB566F">
        <w:t xml:space="preserve"> the</w:t>
      </w:r>
      <w:r>
        <w:t xml:space="preserve"> trust</w:t>
      </w:r>
      <w:r w:rsidRPr="00CB566F">
        <w:t xml:space="preserve"> </w:t>
      </w:r>
    </w:p>
    <w:p w14:paraId="30CA2B42" w14:textId="2A5BA095" w:rsidR="00C66344" w:rsidRPr="00261ECF" w:rsidRDefault="00CE1989" w:rsidP="00195672">
      <w:pPr>
        <w:pStyle w:val="Bodytextbullets"/>
        <w:spacing w:after="0" w:line="240" w:lineRule="auto"/>
      </w:pPr>
      <w:r>
        <w:t>deciding the principles that guide trust policies and approving key policies</w:t>
      </w:r>
    </w:p>
    <w:p w14:paraId="5048FEA6" w14:textId="26A90A18" w:rsidR="00261ECF" w:rsidRDefault="00CE1989" w:rsidP="00E47648">
      <w:pPr>
        <w:pStyle w:val="Bodytextbullets"/>
      </w:pPr>
      <w:r w:rsidRPr="00720C35">
        <w:t>appoint</w:t>
      </w:r>
      <w:r>
        <w:t>ing and appraising</w:t>
      </w:r>
      <w:r w:rsidRPr="00720C35">
        <w:t xml:space="preserve"> the </w:t>
      </w:r>
      <w:r>
        <w:t>senior executive leader</w:t>
      </w:r>
      <w:r w:rsidRPr="00720C35">
        <w:t xml:space="preserve"> and </w:t>
      </w:r>
      <w:r>
        <w:t>making pay recommendations</w:t>
      </w:r>
    </w:p>
    <w:p w14:paraId="7061338D" w14:textId="77777777" w:rsidR="001E2A51" w:rsidRDefault="00CE1989" w:rsidP="00E47648">
      <w:pPr>
        <w:pStyle w:val="Bodytextbullets"/>
      </w:pPr>
      <w:r w:rsidRPr="00CB566F">
        <w:t>work</w:t>
      </w:r>
      <w:r>
        <w:t xml:space="preserve">ing </w:t>
      </w:r>
      <w:r w:rsidRPr="00CB566F">
        <w:t xml:space="preserve">with senior leaders to </w:t>
      </w:r>
      <w:r>
        <w:t>develop a strategy for achieving the vision</w:t>
      </w:r>
    </w:p>
    <w:p w14:paraId="1305337C" w14:textId="77777777" w:rsidR="001E2A51" w:rsidRDefault="001E2A51">
      <w:pPr>
        <w:spacing w:after="0" w:line="240" w:lineRule="auto"/>
        <w:rPr>
          <w:rFonts w:ascii="Lexend Deca Light" w:eastAsiaTheme="minorEastAsia" w:hAnsi="Lexend Deca Light"/>
          <w:color w:val="2E2726"/>
          <w:lang w:val="en-US"/>
        </w:rPr>
      </w:pPr>
      <w:r>
        <w:br w:type="page"/>
      </w:r>
    </w:p>
    <w:p w14:paraId="01B6ABEB" w14:textId="77777777" w:rsidR="00CE1989" w:rsidRPr="00E32AFE" w:rsidRDefault="00CE1989" w:rsidP="00E47648">
      <w:pPr>
        <w:pStyle w:val="Bodytextbullets"/>
      </w:pPr>
      <w:r w:rsidRPr="00E32AFE">
        <w:lastRenderedPageBreak/>
        <w:t>ensuring that stakeholders are involved, consulted and informed as appropriate</w:t>
      </w:r>
    </w:p>
    <w:p w14:paraId="57EDFE62" w14:textId="77777777" w:rsidR="00CE1989" w:rsidRDefault="00CE1989" w:rsidP="00E47648">
      <w:pPr>
        <w:pStyle w:val="Bodytextbullets"/>
      </w:pPr>
      <w:r w:rsidRPr="00466586">
        <w:t>ensur</w:t>
      </w:r>
      <w:r>
        <w:t>ing that</w:t>
      </w:r>
      <w:r w:rsidRPr="00466586">
        <w:t xml:space="preserve"> all schools in the trust deliver a broad and balanced curriculum</w:t>
      </w:r>
      <w:r>
        <w:t xml:space="preserve"> such that p</w:t>
      </w:r>
      <w:r w:rsidRPr="00466586">
        <w:t xml:space="preserve">upils </w:t>
      </w:r>
      <w:r>
        <w:t>are well</w:t>
      </w:r>
      <w:r w:rsidRPr="00466586">
        <w:t xml:space="preserve"> prepared for the next stage of their education and adult life</w:t>
      </w:r>
    </w:p>
    <w:p w14:paraId="6044CF4B" w14:textId="77777777" w:rsidR="00CE1989" w:rsidRPr="00E00D18" w:rsidRDefault="00CE1989" w:rsidP="00E47648">
      <w:pPr>
        <w:pStyle w:val="Bodytextbullets"/>
      </w:pPr>
      <w:r w:rsidRPr="00E00D18">
        <w:t>tak</w:t>
      </w:r>
      <w:r>
        <w:t>ing</w:t>
      </w:r>
      <w:r w:rsidRPr="00E00D18">
        <w:t xml:space="preserve"> ownership of the trust’s financial sustainability and </w:t>
      </w:r>
      <w:r>
        <w:t xml:space="preserve">ensuring </w:t>
      </w:r>
      <w:r w:rsidRPr="00E00D18">
        <w:t>effective resource management across the trust</w:t>
      </w:r>
    </w:p>
    <w:p w14:paraId="4AD14AFC" w14:textId="77777777" w:rsidR="00CE1989" w:rsidRPr="000E7C16" w:rsidRDefault="00CE1989" w:rsidP="00E47648">
      <w:pPr>
        <w:pStyle w:val="Bodytextbullets"/>
      </w:pPr>
      <w:r w:rsidRPr="000E7C16">
        <w:t>agree</w:t>
      </w:r>
      <w:r>
        <w:t>ing</w:t>
      </w:r>
      <w:r w:rsidRPr="000E7C16">
        <w:t xml:space="preserve"> the </w:t>
      </w:r>
      <w:r>
        <w:t>trust</w:t>
      </w:r>
      <w:r w:rsidRPr="000E7C16">
        <w:t>’s staffing structure and keep</w:t>
      </w:r>
      <w:r>
        <w:t>ing it</w:t>
      </w:r>
      <w:r w:rsidRPr="000E7C16">
        <w:t xml:space="preserve"> under review to ensure it supports delivery of the strategy</w:t>
      </w:r>
    </w:p>
    <w:p w14:paraId="5A367E1C" w14:textId="77777777" w:rsidR="00CE1989" w:rsidRDefault="00CE1989" w:rsidP="00E47648">
      <w:pPr>
        <w:pStyle w:val="Bodytextbullets"/>
      </w:pPr>
      <w:r w:rsidRPr="000E7C16">
        <w:t>ensur</w:t>
      </w:r>
      <w:r>
        <w:t>ing</w:t>
      </w:r>
      <w:r w:rsidRPr="000E7C16">
        <w:t xml:space="preserve"> robust risk management </w:t>
      </w:r>
      <w:r>
        <w:t xml:space="preserve">policy and </w:t>
      </w:r>
      <w:r w:rsidRPr="000E7C16">
        <w:t xml:space="preserve">procedures are in place and that risk control measures are appropriate and effective </w:t>
      </w:r>
    </w:p>
    <w:p w14:paraId="7790ECD5" w14:textId="77777777" w:rsidR="00CE1989" w:rsidRPr="00E23839" w:rsidRDefault="00CE1989" w:rsidP="00A82815">
      <w:pPr>
        <w:pStyle w:val="Heading3"/>
      </w:pPr>
      <w:r w:rsidRPr="00E23839">
        <w:t>Monitoring and evaluating trust performance</w:t>
      </w:r>
    </w:p>
    <w:p w14:paraId="0DDAA077" w14:textId="77777777" w:rsidR="00CE1989" w:rsidRPr="00E32AFE" w:rsidRDefault="00CE1989" w:rsidP="001E2A51">
      <w:pPr>
        <w:pStyle w:val="Bodytext1"/>
        <w:spacing w:before="80"/>
      </w:pPr>
      <w:r>
        <w:t>Trustee</w:t>
      </w:r>
      <w:r w:rsidRPr="00AF52B9">
        <w:t xml:space="preserve">s must monitor the priorities that </w:t>
      </w:r>
      <w:r>
        <w:t xml:space="preserve">have been </w:t>
      </w:r>
      <w:r w:rsidRPr="00AF52B9">
        <w:t>set to ensure progress is being made</w:t>
      </w:r>
      <w:r>
        <w:t xml:space="preserve"> by:</w:t>
      </w:r>
    </w:p>
    <w:p w14:paraId="174ABD17" w14:textId="77777777" w:rsidR="00CE1989" w:rsidRPr="00432614" w:rsidRDefault="00CE1989" w:rsidP="00E47648">
      <w:pPr>
        <w:pStyle w:val="Bodytextbullets"/>
      </w:pPr>
      <w:bookmarkStart w:id="5" w:name="_Hlk47969396"/>
      <w:r w:rsidRPr="00432614">
        <w:t>measuring the trust’s impact and progress towards its strategic objectives</w:t>
      </w:r>
    </w:p>
    <w:bookmarkEnd w:id="5"/>
    <w:p w14:paraId="2944D640" w14:textId="77777777" w:rsidR="00CE1989" w:rsidRDefault="00CE1989" w:rsidP="00E47648">
      <w:pPr>
        <w:pStyle w:val="Bodytextbullets"/>
        <w:rPr>
          <w:rFonts w:asciiTheme="majorHAnsi" w:hAnsiTheme="majorHAnsi" w:cstheme="majorHAnsi"/>
        </w:rPr>
      </w:pPr>
      <w:r w:rsidRPr="00432614">
        <w:t>ensuring the required policies and procedures are in place and the trust is operating effectively in line with these policies</w:t>
      </w:r>
    </w:p>
    <w:p w14:paraId="50DC263F" w14:textId="77777777" w:rsidR="00CE1989" w:rsidRPr="00432614" w:rsidRDefault="00CE1989" w:rsidP="00E47648">
      <w:pPr>
        <w:pStyle w:val="Bodytextbullets"/>
      </w:pPr>
      <w:r w:rsidRPr="00432614">
        <w:t>holding the senior executive leader to account for standards, financial probity and compliance with agreed policies</w:t>
      </w:r>
    </w:p>
    <w:p w14:paraId="28B4264A" w14:textId="77777777" w:rsidR="00CE1989" w:rsidRPr="00432614" w:rsidRDefault="00CE1989" w:rsidP="00E47648">
      <w:pPr>
        <w:pStyle w:val="Bodytextbullets"/>
      </w:pPr>
      <w:r w:rsidRPr="00432614">
        <w:t>evaluating relevant data and feedback provided by senior executive leaders and external reporting on all aspects of trust performance</w:t>
      </w:r>
    </w:p>
    <w:p w14:paraId="222DB1D6" w14:textId="77777777" w:rsidR="00CE1989" w:rsidRPr="00432614" w:rsidRDefault="00CE1989" w:rsidP="00E47648">
      <w:pPr>
        <w:pStyle w:val="Bodytextbullets"/>
      </w:pPr>
      <w:r w:rsidRPr="00432614">
        <w:t>asking challenging questions of the senior executive leader in order to hold them to account</w:t>
      </w:r>
    </w:p>
    <w:p w14:paraId="4E0C271F" w14:textId="77777777" w:rsidR="00CE1989" w:rsidRPr="00432614" w:rsidRDefault="00CE1989" w:rsidP="00E47648">
      <w:pPr>
        <w:pStyle w:val="Bodytextbullets"/>
      </w:pPr>
      <w:bookmarkStart w:id="6" w:name="_Hlk47970983"/>
      <w:r w:rsidRPr="00432614">
        <w:t>ensuring that there are policies and procedures in place to deal with complaints effectively</w:t>
      </w:r>
      <w:bookmarkEnd w:id="6"/>
    </w:p>
    <w:p w14:paraId="4345BBEF" w14:textId="77777777" w:rsidR="00CE1989" w:rsidRDefault="00CE1989" w:rsidP="00A82815">
      <w:pPr>
        <w:pStyle w:val="Heading3"/>
        <w:rPr>
          <w:color w:val="2E74B5" w:themeColor="accent5" w:themeShade="BF"/>
        </w:rPr>
      </w:pPr>
      <w:r>
        <w:t>Contribution to the trust board</w:t>
      </w:r>
    </w:p>
    <w:p w14:paraId="65479A56" w14:textId="30FA9447" w:rsidR="00CE1989" w:rsidRPr="00432614" w:rsidRDefault="00CE1989" w:rsidP="001E2A51">
      <w:pPr>
        <w:pStyle w:val="Bodytext1"/>
        <w:spacing w:before="80"/>
      </w:pPr>
      <w:r w:rsidRPr="00432614">
        <w:t xml:space="preserve">Trustees should ensure that they </w:t>
      </w:r>
      <w:r w:rsidR="00C66344">
        <w:t>make</w:t>
      </w:r>
      <w:r w:rsidRPr="00432614">
        <w:t xml:space="preserve"> a positive and meaningful contribution to the board by:</w:t>
      </w:r>
    </w:p>
    <w:p w14:paraId="06F8BF45" w14:textId="77777777" w:rsidR="00CE1989" w:rsidRPr="00432614" w:rsidRDefault="00CE1989" w:rsidP="00E47648">
      <w:pPr>
        <w:pStyle w:val="Bodytextbullets"/>
      </w:pPr>
      <w:r w:rsidRPr="00432614">
        <w:t>attending meetings (typically 6 full board meetings each year), reading papers and preparing questions for the senior executive leader in advance</w:t>
      </w:r>
    </w:p>
    <w:p w14:paraId="0FCE6E5F" w14:textId="77777777" w:rsidR="00CE1989" w:rsidRPr="00432614" w:rsidRDefault="00CE1989" w:rsidP="00E47648">
      <w:pPr>
        <w:pStyle w:val="Bodytextbullets"/>
      </w:pPr>
      <w:r w:rsidRPr="00432614">
        <w:t>establishing and maintaining professional relationships with senior executive leaders and colleagues on the board of trustees</w:t>
      </w:r>
    </w:p>
    <w:p w14:paraId="7D6CDDBE" w14:textId="77777777" w:rsidR="00CE1989" w:rsidRPr="00432614" w:rsidRDefault="00CE1989" w:rsidP="00E47648">
      <w:pPr>
        <w:pStyle w:val="Bodytextbullets"/>
      </w:pPr>
      <w:r w:rsidRPr="00432614">
        <w:t>getting to know schools within the trust, including visiting occasionally during school hours</w:t>
      </w:r>
    </w:p>
    <w:p w14:paraId="5483BACF" w14:textId="77777777" w:rsidR="00CE1989" w:rsidRPr="00E47648" w:rsidRDefault="00CE1989" w:rsidP="00E47648">
      <w:pPr>
        <w:pStyle w:val="Bodytextbullets"/>
      </w:pPr>
      <w:r w:rsidRPr="00432614">
        <w:t>undertaking</w:t>
      </w:r>
      <w:r w:rsidRPr="00E47648">
        <w:t xml:space="preserve"> induction training and developing knowledge and skills on an ongoing basis</w:t>
      </w:r>
    </w:p>
    <w:p w14:paraId="5CA2698B" w14:textId="77777777" w:rsidR="00CE1989" w:rsidRDefault="00CE1989" w:rsidP="00A82815">
      <w:pPr>
        <w:pStyle w:val="Heading3"/>
        <w:rPr>
          <w:color w:val="2E74B5" w:themeColor="accent5" w:themeShade="BF"/>
        </w:rPr>
      </w:pPr>
      <w:r w:rsidRPr="00E23839">
        <w:t>In trusts with local governance arrangements</w:t>
      </w:r>
    </w:p>
    <w:p w14:paraId="5DB7EB3C" w14:textId="77777777" w:rsidR="00CE1989" w:rsidRPr="00C36DFD" w:rsidRDefault="00CE1989" w:rsidP="001E2A51">
      <w:pPr>
        <w:pStyle w:val="Bodytext1"/>
        <w:spacing w:before="80"/>
      </w:pPr>
      <w:r w:rsidRPr="00C36DFD">
        <w:t xml:space="preserve">In most medium-sized and larger </w:t>
      </w:r>
      <w:r>
        <w:t>multi academy trusts,</w:t>
      </w:r>
      <w:r w:rsidRPr="00C36DFD">
        <w:t xml:space="preserve"> there will be some form of governance below the trust level. In such cases, trustees are responsible for:</w:t>
      </w:r>
    </w:p>
    <w:p w14:paraId="73C852A8" w14:textId="77777777" w:rsidR="00CE1989" w:rsidRDefault="00CE1989" w:rsidP="00E47648">
      <w:pPr>
        <w:pStyle w:val="Bodytextbullets"/>
      </w:pPr>
      <w:r w:rsidRPr="00D4105A">
        <w:t>ensur</w:t>
      </w:r>
      <w:r>
        <w:t>ing</w:t>
      </w:r>
      <w:r w:rsidRPr="00D4105A">
        <w:t xml:space="preserve"> that the trust’s governance structure meets the needs of the </w:t>
      </w:r>
      <w:r>
        <w:t xml:space="preserve">trust </w:t>
      </w:r>
    </w:p>
    <w:p w14:paraId="6717EC84" w14:textId="77777777" w:rsidR="00CE1989" w:rsidRDefault="00CE1989" w:rsidP="00E47648">
      <w:pPr>
        <w:pStyle w:val="Bodytextbullets"/>
      </w:pPr>
      <w:r>
        <w:t xml:space="preserve">agreeing </w:t>
      </w:r>
      <w:r w:rsidRPr="00D4105A">
        <w:t xml:space="preserve">clear schemes of delegation, outlining the responsibilities delegated to the senior executive leader and the responsibilities of </w:t>
      </w:r>
      <w:r>
        <w:t xml:space="preserve">the </w:t>
      </w:r>
      <w:r w:rsidRPr="00D4105A">
        <w:t xml:space="preserve">board </w:t>
      </w:r>
      <w:r>
        <w:t xml:space="preserve">and academy </w:t>
      </w:r>
      <w:r w:rsidRPr="00D4105A">
        <w:t>committees</w:t>
      </w:r>
    </w:p>
    <w:p w14:paraId="3F551823" w14:textId="09A1F73E" w:rsidR="001E2A51" w:rsidRDefault="00CE1989" w:rsidP="001E2A51">
      <w:pPr>
        <w:pStyle w:val="Bodytextbullets"/>
      </w:pPr>
      <w:r w:rsidRPr="00A936B0">
        <w:t>ensur</w:t>
      </w:r>
      <w:r>
        <w:t>ing</w:t>
      </w:r>
      <w:r w:rsidRPr="00A936B0">
        <w:t xml:space="preserve"> effective communication channels are in place</w:t>
      </w:r>
    </w:p>
    <w:p w14:paraId="0407483E" w14:textId="0C93845E" w:rsidR="001E2A51" w:rsidRDefault="001E2A51" w:rsidP="00C66344">
      <w:pPr>
        <w:pStyle w:val="Bodytext1"/>
        <w:spacing w:after="7000"/>
      </w:pPr>
      <w:r>
        <w:rPr>
          <w:rFonts w:eastAsia="Calibri" w:cs="Calibri"/>
          <w:noProof/>
          <w:color w:val="2E2625"/>
          <w:szCs w:val="24"/>
          <w14:ligatures w14:val="standardContextual"/>
        </w:rPr>
        <w:lastRenderedPageBreak/>
        <mc:AlternateContent>
          <mc:Choice Requires="wps">
            <w:drawing>
              <wp:inline distT="0" distB="0" distL="0" distR="0" wp14:anchorId="1249B323" wp14:editId="442C0032">
                <wp:extent cx="6181725" cy="1478280"/>
                <wp:effectExtent l="0" t="0" r="9525" b="7620"/>
                <wp:docPr id="2007955075" name="Text Box 2007955075"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81725" cy="1478280"/>
                        </a:xfrm>
                        <a:prstGeom prst="rect">
                          <a:avLst/>
                        </a:prstGeom>
                        <a:solidFill>
                          <a:schemeClr val="bg1">
                            <a:lumMod val="95000"/>
                          </a:schemeClr>
                        </a:solidFill>
                        <a:ln w="6350">
                          <a:noFill/>
                        </a:ln>
                      </wps:spPr>
                      <wps:txbx>
                        <w:txbxContent>
                          <w:p w14:paraId="09C6BA9B" w14:textId="77777777" w:rsidR="001E2A51" w:rsidRPr="00335E23" w:rsidRDefault="001E2A51" w:rsidP="001E2A51">
                            <w:pPr>
                              <w:spacing w:after="80"/>
                              <w:rPr>
                                <w:rFonts w:ascii="Lexend Deca SemiBold" w:eastAsiaTheme="majorEastAsia" w:hAnsi="Lexend Deca SemiBold" w:cstheme="majorBidi"/>
                                <w:bCs/>
                                <w:color w:val="00407B"/>
                                <w:sz w:val="32"/>
                              </w:rPr>
                            </w:pPr>
                            <w:r w:rsidRPr="00335E23">
                              <w:rPr>
                                <w:rFonts w:ascii="Lexend Deca SemiBold" w:eastAsiaTheme="majorEastAsia" w:hAnsi="Lexend Deca SemiBold" w:cstheme="majorBidi"/>
                                <w:bCs/>
                                <w:color w:val="00407B"/>
                                <w:sz w:val="32"/>
                              </w:rPr>
                              <w:t>Expenses</w:t>
                            </w:r>
                          </w:p>
                          <w:p w14:paraId="27F18003" w14:textId="12FF1F06" w:rsidR="001E2A51" w:rsidRPr="001E2A51" w:rsidRDefault="001E2A51" w:rsidP="001E2A51">
                            <w:pPr>
                              <w:pStyle w:val="Bodytext1"/>
                              <w:spacing w:after="40"/>
                            </w:pPr>
                            <w:r>
                              <w:t>Trustee</w:t>
                            </w:r>
                            <w:r w:rsidRPr="00DA6356">
                              <w:t xml:space="preserve">s </w:t>
                            </w:r>
                            <w:r>
                              <w:t>should</w:t>
                            </w:r>
                            <w:r w:rsidRPr="00DA6356">
                              <w:t xml:space="preserve"> receive out of pocket expenses incurred as a result of fulfilling their role as </w:t>
                            </w:r>
                            <w:r>
                              <w:t xml:space="preserve">trustee </w:t>
                            </w:r>
                            <w:r w:rsidRPr="00DA6356">
                              <w:t xml:space="preserve">and NGA recommends that a </w:t>
                            </w:r>
                            <w:r>
                              <w:t>board of trustees</w:t>
                            </w:r>
                            <w:r w:rsidRPr="00DA6356">
                              <w:t xml:space="preserve"> should have such an expenses policy. Payments can cover incidental expenses, such as travel and </w:t>
                            </w:r>
                            <w:r>
                              <w:t>dependency care</w:t>
                            </w:r>
                            <w:r w:rsidRPr="00DA6356">
                              <w:t>, but not loss of earnings.</w:t>
                            </w:r>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w:pict>
              <v:shape w14:anchorId="1249B323" id="Text Box 2007955075" o:spid="_x0000_s1027" type="#_x0000_t202" alt="Thank you for using the checklist&#10;If you have any feedback you’d like to share, please email kcfeedback@nga.org.uk&#10;" style="width:486.75pt;height:11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" fillcolor="#f2f2f2 [3052]" stroked="f" strokeweight=".5pt">
                <v:textbox inset="10mm,5mm,10mm,5mm">
                  <w:txbxContent>
                    <w:p w14:paraId="09C6BA9B" w14:textId="77777777" w:rsidR="001E2A51" w:rsidRPr="00335E23" w:rsidRDefault="001E2A51" w:rsidP="001E2A51">
                      <w:pPr>
                        <w:spacing w:after="80"/>
                        <w:rPr>
                          <w:rFonts w:ascii="Lexend Deca SemiBold" w:eastAsiaTheme="majorEastAsia" w:hAnsi="Lexend Deca SemiBold" w:cstheme="majorBidi"/>
                          <w:bCs/>
                          <w:color w:val="00407B"/>
                          <w:sz w:val="32"/>
                        </w:rPr>
                      </w:pPr>
                      <w:r w:rsidRPr="00335E23">
                        <w:rPr>
                          <w:rFonts w:ascii="Lexend Deca SemiBold" w:eastAsiaTheme="majorEastAsia" w:hAnsi="Lexend Deca SemiBold" w:cstheme="majorBidi"/>
                          <w:bCs/>
                          <w:color w:val="00407B"/>
                          <w:sz w:val="32"/>
                        </w:rPr>
                        <w:t>Expenses</w:t>
                      </w:r>
                    </w:p>
                    <w:p w14:paraId="27F18003" w14:textId="12FF1F06" w:rsidR="001E2A51" w:rsidRPr="001E2A51" w:rsidRDefault="001E2A51" w:rsidP="001E2A51">
                      <w:pPr>
                        <w:pStyle w:val="Bodytext1"/>
                        <w:spacing w:after="40"/>
                      </w:pPr>
                      <w:r>
                        <w:t>Trustee</w:t>
                      </w:r>
                      <w:r w:rsidRPr="00DA6356">
                        <w:t xml:space="preserve">s </w:t>
                      </w:r>
                      <w:r>
                        <w:t>should</w:t>
                      </w:r>
                      <w:r w:rsidRPr="00DA6356">
                        <w:t xml:space="preserve"> receive out of pocket expenses incurred as a result of fulfilling their role as </w:t>
                      </w:r>
                      <w:r>
                        <w:t xml:space="preserve">trustee </w:t>
                      </w:r>
                      <w:r w:rsidRPr="00DA6356">
                        <w:t xml:space="preserve">and NGA recommends that a </w:t>
                      </w:r>
                      <w:r>
                        <w:t>board of trustees</w:t>
                      </w:r>
                      <w:r w:rsidRPr="00DA6356">
                        <w:t xml:space="preserve"> should have such an expenses policy. Payments can cover incidental expenses, such as travel and </w:t>
                      </w:r>
                      <w:r>
                        <w:t>dependency care</w:t>
                      </w:r>
                      <w:r w:rsidRPr="00DA6356">
                        <w:t>, but not loss of earnings.</w:t>
                      </w:r>
                    </w:p>
                  </w:txbxContent>
                </v:textbox>
                <w10:anchorlock/>
              </v:shape>
            </w:pict>
          </mc:Fallback>
        </mc:AlternateContent>
      </w:r>
    </w:p>
    <w:bookmarkEnd w:id="0"/>
    <w:bookmarkEnd w:id="1"/>
    <w:p w14:paraId="2A4A6625" w14:textId="50D7D907" w:rsidR="00CE1989" w:rsidRDefault="00CE1989" w:rsidP="0046415C">
      <w:pPr>
        <w:rPr>
          <w:rFonts w:ascii="Lexend Deca Light" w:hAnsi="Lexend Deca Light"/>
          <w:color w:val="00407B"/>
          <w:sz w:val="24"/>
          <w:szCs w:val="24"/>
          <w:lang w:val="en-US"/>
        </w:rPr>
      </w:pPr>
    </w:p>
    <w:sectPr w:rsidR="00CE1989" w:rsidSect="00C9113C">
      <w:headerReference w:type="default" r:id="rId12"/>
      <w:footerReference w:type="default" r:id="rId13"/>
      <w:headerReference w:type="first" r:id="rId14"/>
      <w:footerReference w:type="first" r:id="rId15"/>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8DAE3" w14:textId="77777777" w:rsidR="008F079B" w:rsidRDefault="008F079B" w:rsidP="00AD32FB">
      <w:pPr>
        <w:spacing w:after="0" w:line="240" w:lineRule="auto"/>
      </w:pPr>
      <w:r>
        <w:separator/>
      </w:r>
    </w:p>
  </w:endnote>
  <w:endnote w:type="continuationSeparator" w:id="0">
    <w:p w14:paraId="3DEEA2EF" w14:textId="77777777" w:rsidR="008F079B" w:rsidRDefault="008F079B" w:rsidP="00AD32FB">
      <w:pPr>
        <w:spacing w:after="0" w:line="240" w:lineRule="auto"/>
      </w:pPr>
      <w:r>
        <w:continuationSeparator/>
      </w:r>
    </w:p>
  </w:endnote>
  <w:endnote w:type="continuationNotice" w:id="1">
    <w:p w14:paraId="606086EE" w14:textId="77777777" w:rsidR="008F079B" w:rsidRDefault="008F0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exend Deca Light">
    <w:altName w:val="Calibri"/>
    <w:panose1 w:val="00000000000000000000"/>
    <w:charset w:val="00"/>
    <w:family w:val="auto"/>
    <w:pitch w:val="variable"/>
    <w:sig w:usb0="A00000FF" w:usb1="4000205B" w:usb2="00000000" w:usb3="00000000" w:csb0="00000193" w:csb1="00000000"/>
    <w:embedRegular r:id="rId1" w:fontKey="{47F39129-03E4-484D-A662-C38630F2112B}"/>
    <w:embedBold r:id="rId2" w:fontKey="{01632CD0-14AF-4C07-826A-C826E743E4E8}"/>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altName w:val="Calibri"/>
    <w:panose1 w:val="00000000000000000000"/>
    <w:charset w:val="00"/>
    <w:family w:val="auto"/>
    <w:pitch w:val="variable"/>
    <w:sig w:usb0="A00000EF" w:usb1="4000206B" w:usb2="00000000" w:usb3="00000000" w:csb0="00000093" w:csb1="00000000"/>
    <w:embedRegular r:id="rId3" w:subsetted="1" w:fontKey="{785C90C0-83BE-44AD-BD58-83F87CBBBD81}"/>
  </w:font>
  <w:font w:name="Lexend Deca SemiBold">
    <w:altName w:val="Calibri"/>
    <w:panose1 w:val="00000000000000000000"/>
    <w:charset w:val="00"/>
    <w:family w:val="auto"/>
    <w:pitch w:val="variable"/>
    <w:sig w:usb0="A00000FF" w:usb1="4000205B" w:usb2="00000000" w:usb3="00000000" w:csb0="00000193" w:csb1="00000000"/>
    <w:embedRegular r:id="rId4" w:subsetted="1" w:fontKey="{5B92DA55-2B49-428E-92D9-38B4702221A1}"/>
  </w:font>
  <w:font w:name="Helvetica Neue">
    <w:charset w:val="00"/>
    <w:family w:val="auto"/>
    <w:pitch w:val="variable"/>
    <w:sig w:usb0="E50002FF" w:usb1="500079DB" w:usb2="00000010" w:usb3="00000000" w:csb0="00000001" w:csb1="00000000"/>
  </w:font>
  <w:font w:name="Lexend Deca">
    <w:altName w:val="Calibri"/>
    <w:panose1 w:val="00000000000000000000"/>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1A97" w14:textId="6DE32F9B" w:rsidR="00A54BC4" w:rsidRPr="00CF683C" w:rsidRDefault="00FF0D88" w:rsidP="0092179F">
    <w:pPr>
      <w:pStyle w:val="Bodytextsmall"/>
      <w:rPr>
        <w:sz w:val="20"/>
        <w:szCs w:val="20"/>
      </w:rPr>
    </w:pPr>
    <w:r>
      <w:rPr>
        <w:rFonts w:ascii="Calibri" w:hAnsi="Calibri" w:cs="Calibri"/>
        <w:b/>
        <w:bCs/>
        <w:noProof/>
        <w:color w:val="FFFFFF" w:themeColor="background1"/>
        <w:sz w:val="18"/>
        <w:szCs w:val="18"/>
        <w14:ligatures w14:val="standardContextual"/>
      </w:rPr>
      <w:drawing>
        <wp:anchor distT="0" distB="0" distL="114300" distR="114300" simplePos="0" relativeHeight="251658246"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1458703553" name="Picture 1458703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rPr>
      <mc:AlternateContent>
        <mc:Choice Requires="wps">
          <w:drawing>
            <wp:anchor distT="0" distB="0" distL="114300" distR="114300" simplePos="0" relativeHeight="251658244"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8" alt="&quot;&quot;" style="position:absolute;margin-left:1036.75pt;margin-top:35.35pt;width:28.05pt;height:28.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4B42B3">
      <w:rPr>
        <w:color w:val="00407B"/>
        <w:sz w:val="18"/>
        <w:szCs w:val="18"/>
      </w:rPr>
      <w:t>4</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797D" w14:textId="60F8AB62" w:rsidR="00A24ED9" w:rsidRPr="0030306C" w:rsidRDefault="00C822B2" w:rsidP="00571724">
    <w:pPr>
      <w:pStyle w:val="Bodytext1"/>
      <w:rPr>
        <w:rStyle w:val="SmartLink"/>
        <w:color w:val="00407B"/>
        <w:sz w:val="28"/>
        <w:szCs w:val="28"/>
        <w:u w:val="none"/>
        <w:shd w:val="clear" w:color="auto" w:fill="auto"/>
      </w:rPr>
    </w:pPr>
    <w:r>
      <w:rPr>
        <w:noProof/>
      </w:rPr>
      <w:drawing>
        <wp:anchor distT="0" distB="0" distL="114300" distR="114300" simplePos="0" relativeHeight="251658247" behindDoc="1" locked="1" layoutInCell="1" allowOverlap="1" wp14:anchorId="3ED3A97D" wp14:editId="6C56AF7D">
          <wp:simplePos x="0" y="0"/>
          <wp:positionH relativeFrom="column">
            <wp:posOffset>-221615</wp:posOffset>
          </wp:positionH>
          <wp:positionV relativeFrom="page">
            <wp:posOffset>8992235</wp:posOffset>
          </wp:positionV>
          <wp:extent cx="2367915" cy="923290"/>
          <wp:effectExtent l="0" t="0" r="0" b="0"/>
          <wp:wrapNone/>
          <wp:docPr id="871661144" name="Picture 871661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337">
      <w:rPr>
        <w:noProof/>
      </w:rPr>
      <w:drawing>
        <wp:anchor distT="0" distB="0" distL="114300" distR="114300" simplePos="0" relativeHeight="251658245"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1027644337" name="Picture 1027644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EDAF3" w14:textId="77777777" w:rsidR="008F079B" w:rsidRDefault="008F079B" w:rsidP="00AD32FB">
      <w:pPr>
        <w:spacing w:after="0" w:line="240" w:lineRule="auto"/>
      </w:pPr>
      <w:r>
        <w:separator/>
      </w:r>
    </w:p>
  </w:footnote>
  <w:footnote w:type="continuationSeparator" w:id="0">
    <w:p w14:paraId="24F013BF" w14:textId="77777777" w:rsidR="008F079B" w:rsidRDefault="008F079B" w:rsidP="00AD32FB">
      <w:pPr>
        <w:spacing w:after="0" w:line="240" w:lineRule="auto"/>
      </w:pPr>
      <w:r>
        <w:continuationSeparator/>
      </w:r>
    </w:p>
  </w:footnote>
  <w:footnote w:type="continuationNotice" w:id="1">
    <w:p w14:paraId="0BA56E20" w14:textId="77777777" w:rsidR="008F079B" w:rsidRDefault="008F07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1BE71EE1" w:rsidR="00A54BC4" w:rsidRDefault="00013C85">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485B9C54">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31CFE4"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1134366695" name="Picture 1134366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6647" w14:textId="34790EFD" w:rsidR="00AD32FB" w:rsidRDefault="00B42337">
    <w:pPr>
      <w:pStyle w:val="Header"/>
    </w:pPr>
    <w:r>
      <w:rPr>
        <w:noProof/>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2023939861" name="Picture 20239398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401787411" name="Picture 1401787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0F6F"/>
    <w:multiLevelType w:val="hybridMultilevel"/>
    <w:tmpl w:val="BD701BBA"/>
    <w:lvl w:ilvl="0" w:tplc="FBEAEE82">
      <w:start w:val="1"/>
      <w:numFmt w:val="decimal"/>
      <w:lvlText w:val="%1."/>
      <w:lvlJc w:val="left"/>
      <w:pPr>
        <w:ind w:left="1070" w:hanging="360"/>
      </w:pPr>
      <w:rPr>
        <w:rFonts w:hint="default"/>
        <w:i w:val="0"/>
        <w:i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C7D43"/>
    <w:multiLevelType w:val="hybridMultilevel"/>
    <w:tmpl w:val="4ECECB48"/>
    <w:lvl w:ilvl="0" w:tplc="FFFFFFFF">
      <w:start w:val="1"/>
      <w:numFmt w:val="decimal"/>
      <w:lvlText w:val="%1."/>
      <w:lvlJc w:val="left"/>
      <w:pPr>
        <w:ind w:left="360" w:hanging="360"/>
      </w:pPr>
      <w:rPr>
        <w:rFonts w:hint="default"/>
        <w:color w:val="40D1BB"/>
      </w:rPr>
    </w:lvl>
    <w:lvl w:ilvl="1" w:tplc="0809000F">
      <w:start w:val="1"/>
      <w:numFmt w:val="decimal"/>
      <w:lvlText w:val="%2."/>
      <w:lvlJc w:val="left"/>
      <w:pPr>
        <w:ind w:left="1440" w:hanging="360"/>
      </w:pPr>
      <w:rPr>
        <w:rFonts w:hint="default"/>
        <w:color w:val="40D1B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E3A05DE"/>
    <w:multiLevelType w:val="hybridMultilevel"/>
    <w:tmpl w:val="7D42C45E"/>
    <w:lvl w:ilvl="0" w:tplc="C8ECC40A">
      <w:start w:val="1"/>
      <w:numFmt w:val="decimal"/>
      <w:lvlText w:val="%1."/>
      <w:lvlJc w:val="left"/>
      <w:pPr>
        <w:ind w:left="720" w:hanging="360"/>
      </w:pPr>
      <w:rPr>
        <w:rFonts w:hint="default"/>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94739D"/>
    <w:multiLevelType w:val="hybridMultilevel"/>
    <w:tmpl w:val="0FE2953A"/>
    <w:lvl w:ilvl="0" w:tplc="48987230">
      <w:start w:val="1"/>
      <w:numFmt w:val="bullet"/>
      <w:pStyle w:val="smallbullet"/>
      <w:lvlText w:val=""/>
      <w:lvlJc w:val="left"/>
      <w:pPr>
        <w:ind w:left="284" w:hanging="284"/>
      </w:pPr>
      <w:rPr>
        <w:rFonts w:ascii="Wingdings" w:hAnsi="Wingdings" w:hint="default"/>
        <w:b w:val="0"/>
        <w:i w:val="0"/>
        <w:color w:val="2F5496" w:themeColor="accent1" w:themeShade="BF"/>
        <w:sz w:val="20"/>
        <w:szCs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3233870">
    <w:abstractNumId w:val="17"/>
  </w:num>
  <w:num w:numId="2" w16cid:durableId="64186208">
    <w:abstractNumId w:val="13"/>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4"/>
  </w:num>
  <w:num w:numId="14" w16cid:durableId="555161452">
    <w:abstractNumId w:val="11"/>
  </w:num>
  <w:num w:numId="15" w16cid:durableId="1593852846">
    <w:abstractNumId w:val="16"/>
  </w:num>
  <w:num w:numId="16" w16cid:durableId="467433304">
    <w:abstractNumId w:val="10"/>
  </w:num>
  <w:num w:numId="17" w16cid:durableId="1943879246">
    <w:abstractNumId w:val="15"/>
  </w:num>
  <w:num w:numId="18" w16cid:durableId="1858888174">
    <w:abstractNumId w:val="12"/>
  </w:num>
  <w:num w:numId="19" w16cid:durableId="134266560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3C85"/>
    <w:rsid w:val="00020CBF"/>
    <w:rsid w:val="00024F0B"/>
    <w:rsid w:val="000407B5"/>
    <w:rsid w:val="00040CB2"/>
    <w:rsid w:val="00054BAC"/>
    <w:rsid w:val="00072E6F"/>
    <w:rsid w:val="00074E46"/>
    <w:rsid w:val="000A2D6E"/>
    <w:rsid w:val="000E01AC"/>
    <w:rsid w:val="000F206F"/>
    <w:rsid w:val="000F642F"/>
    <w:rsid w:val="00100991"/>
    <w:rsid w:val="00112BA4"/>
    <w:rsid w:val="0011654E"/>
    <w:rsid w:val="001210B3"/>
    <w:rsid w:val="00121DB2"/>
    <w:rsid w:val="001251FF"/>
    <w:rsid w:val="0015723F"/>
    <w:rsid w:val="00172388"/>
    <w:rsid w:val="001732EC"/>
    <w:rsid w:val="00180AE5"/>
    <w:rsid w:val="001A0F57"/>
    <w:rsid w:val="001A6E78"/>
    <w:rsid w:val="001A7100"/>
    <w:rsid w:val="001C38C7"/>
    <w:rsid w:val="001C4295"/>
    <w:rsid w:val="001D3995"/>
    <w:rsid w:val="001D3B86"/>
    <w:rsid w:val="001E0CFE"/>
    <w:rsid w:val="001E2A51"/>
    <w:rsid w:val="001E35B4"/>
    <w:rsid w:val="001F1370"/>
    <w:rsid w:val="001F4848"/>
    <w:rsid w:val="00207EDA"/>
    <w:rsid w:val="002118F6"/>
    <w:rsid w:val="002253E7"/>
    <w:rsid w:val="0023062D"/>
    <w:rsid w:val="00243573"/>
    <w:rsid w:val="00243F8D"/>
    <w:rsid w:val="00261ECF"/>
    <w:rsid w:val="0027247E"/>
    <w:rsid w:val="002740B0"/>
    <w:rsid w:val="002911F1"/>
    <w:rsid w:val="002A22C7"/>
    <w:rsid w:val="002A42ED"/>
    <w:rsid w:val="002B0AA8"/>
    <w:rsid w:val="002C3625"/>
    <w:rsid w:val="002F2307"/>
    <w:rsid w:val="002F61F4"/>
    <w:rsid w:val="0030306C"/>
    <w:rsid w:val="00333061"/>
    <w:rsid w:val="00340765"/>
    <w:rsid w:val="003409FA"/>
    <w:rsid w:val="0034188B"/>
    <w:rsid w:val="00351CEF"/>
    <w:rsid w:val="00362EE3"/>
    <w:rsid w:val="00373E16"/>
    <w:rsid w:val="0038181E"/>
    <w:rsid w:val="00381D5F"/>
    <w:rsid w:val="00393F26"/>
    <w:rsid w:val="00395DC6"/>
    <w:rsid w:val="003C114F"/>
    <w:rsid w:val="003D7076"/>
    <w:rsid w:val="003E60BF"/>
    <w:rsid w:val="003F50A5"/>
    <w:rsid w:val="004100B4"/>
    <w:rsid w:val="00413C36"/>
    <w:rsid w:val="00420BAB"/>
    <w:rsid w:val="00425133"/>
    <w:rsid w:val="00430069"/>
    <w:rsid w:val="00444DB3"/>
    <w:rsid w:val="004529C5"/>
    <w:rsid w:val="0046415C"/>
    <w:rsid w:val="00471F29"/>
    <w:rsid w:val="004821DD"/>
    <w:rsid w:val="0049464F"/>
    <w:rsid w:val="004A5829"/>
    <w:rsid w:val="004B32C0"/>
    <w:rsid w:val="004B42B3"/>
    <w:rsid w:val="004D12D3"/>
    <w:rsid w:val="004D666A"/>
    <w:rsid w:val="004D6C9F"/>
    <w:rsid w:val="004E0A34"/>
    <w:rsid w:val="004E1A84"/>
    <w:rsid w:val="004E20F3"/>
    <w:rsid w:val="004E36AD"/>
    <w:rsid w:val="005040B5"/>
    <w:rsid w:val="00504AF1"/>
    <w:rsid w:val="005253FE"/>
    <w:rsid w:val="00525461"/>
    <w:rsid w:val="0055505B"/>
    <w:rsid w:val="00571724"/>
    <w:rsid w:val="0057256D"/>
    <w:rsid w:val="005755D6"/>
    <w:rsid w:val="00583EC3"/>
    <w:rsid w:val="00584451"/>
    <w:rsid w:val="00592098"/>
    <w:rsid w:val="00593E58"/>
    <w:rsid w:val="005A5729"/>
    <w:rsid w:val="005B6B32"/>
    <w:rsid w:val="005D77DE"/>
    <w:rsid w:val="005E2D1D"/>
    <w:rsid w:val="005E57E3"/>
    <w:rsid w:val="005E6E5F"/>
    <w:rsid w:val="00621501"/>
    <w:rsid w:val="006362FA"/>
    <w:rsid w:val="00663EF0"/>
    <w:rsid w:val="00680675"/>
    <w:rsid w:val="006818BF"/>
    <w:rsid w:val="00681F36"/>
    <w:rsid w:val="006C35D4"/>
    <w:rsid w:val="006C6B80"/>
    <w:rsid w:val="006C7222"/>
    <w:rsid w:val="006D5605"/>
    <w:rsid w:val="006D6883"/>
    <w:rsid w:val="006D6FF6"/>
    <w:rsid w:val="006F5DE3"/>
    <w:rsid w:val="00706736"/>
    <w:rsid w:val="00721807"/>
    <w:rsid w:val="0072666A"/>
    <w:rsid w:val="00726F25"/>
    <w:rsid w:val="007371C1"/>
    <w:rsid w:val="007500A6"/>
    <w:rsid w:val="007563DF"/>
    <w:rsid w:val="007949C3"/>
    <w:rsid w:val="00795EBC"/>
    <w:rsid w:val="007A36BD"/>
    <w:rsid w:val="007B7ACF"/>
    <w:rsid w:val="007D69A5"/>
    <w:rsid w:val="007F2368"/>
    <w:rsid w:val="007F27E2"/>
    <w:rsid w:val="0080174C"/>
    <w:rsid w:val="008236C2"/>
    <w:rsid w:val="00833479"/>
    <w:rsid w:val="0084363A"/>
    <w:rsid w:val="0086557A"/>
    <w:rsid w:val="0087356C"/>
    <w:rsid w:val="008828EB"/>
    <w:rsid w:val="00887EEB"/>
    <w:rsid w:val="008947EF"/>
    <w:rsid w:val="008A437E"/>
    <w:rsid w:val="008A75E5"/>
    <w:rsid w:val="008F079B"/>
    <w:rsid w:val="009133EB"/>
    <w:rsid w:val="009169F9"/>
    <w:rsid w:val="0092179F"/>
    <w:rsid w:val="0093331A"/>
    <w:rsid w:val="00934F3D"/>
    <w:rsid w:val="0094727D"/>
    <w:rsid w:val="00952580"/>
    <w:rsid w:val="00957E12"/>
    <w:rsid w:val="00974E81"/>
    <w:rsid w:val="009775DC"/>
    <w:rsid w:val="009A3FE1"/>
    <w:rsid w:val="009E1C1D"/>
    <w:rsid w:val="009E29E4"/>
    <w:rsid w:val="009E39C1"/>
    <w:rsid w:val="009E4AF8"/>
    <w:rsid w:val="009E6E9E"/>
    <w:rsid w:val="009E7239"/>
    <w:rsid w:val="009F3983"/>
    <w:rsid w:val="00A028D4"/>
    <w:rsid w:val="00A062BD"/>
    <w:rsid w:val="00A079F1"/>
    <w:rsid w:val="00A134EC"/>
    <w:rsid w:val="00A13848"/>
    <w:rsid w:val="00A23D79"/>
    <w:rsid w:val="00A24ED9"/>
    <w:rsid w:val="00A25306"/>
    <w:rsid w:val="00A52C2F"/>
    <w:rsid w:val="00A52CF6"/>
    <w:rsid w:val="00A54BC4"/>
    <w:rsid w:val="00A62589"/>
    <w:rsid w:val="00A6547F"/>
    <w:rsid w:val="00A67408"/>
    <w:rsid w:val="00A715B0"/>
    <w:rsid w:val="00A73143"/>
    <w:rsid w:val="00A82815"/>
    <w:rsid w:val="00A914C4"/>
    <w:rsid w:val="00AB3BCF"/>
    <w:rsid w:val="00AC51F9"/>
    <w:rsid w:val="00AC5A80"/>
    <w:rsid w:val="00AD02A7"/>
    <w:rsid w:val="00AD32FB"/>
    <w:rsid w:val="00AD34FF"/>
    <w:rsid w:val="00AD5043"/>
    <w:rsid w:val="00AE45CD"/>
    <w:rsid w:val="00B12F03"/>
    <w:rsid w:val="00B23AA4"/>
    <w:rsid w:val="00B30BFA"/>
    <w:rsid w:val="00B31DE3"/>
    <w:rsid w:val="00B42337"/>
    <w:rsid w:val="00B45F34"/>
    <w:rsid w:val="00B51A1C"/>
    <w:rsid w:val="00B6090C"/>
    <w:rsid w:val="00B75204"/>
    <w:rsid w:val="00BA313D"/>
    <w:rsid w:val="00BB3E80"/>
    <w:rsid w:val="00BB67F5"/>
    <w:rsid w:val="00BB7529"/>
    <w:rsid w:val="00BC397A"/>
    <w:rsid w:val="00BC47EA"/>
    <w:rsid w:val="00BD6C48"/>
    <w:rsid w:val="00BE6766"/>
    <w:rsid w:val="00BE73B5"/>
    <w:rsid w:val="00C02A20"/>
    <w:rsid w:val="00C05C03"/>
    <w:rsid w:val="00C10DDB"/>
    <w:rsid w:val="00C1502C"/>
    <w:rsid w:val="00C322FF"/>
    <w:rsid w:val="00C35FE7"/>
    <w:rsid w:val="00C54E8F"/>
    <w:rsid w:val="00C66344"/>
    <w:rsid w:val="00C74136"/>
    <w:rsid w:val="00C756DF"/>
    <w:rsid w:val="00C75FE3"/>
    <w:rsid w:val="00C822B2"/>
    <w:rsid w:val="00C825D9"/>
    <w:rsid w:val="00C9113C"/>
    <w:rsid w:val="00CA0C3E"/>
    <w:rsid w:val="00CB0D17"/>
    <w:rsid w:val="00CB232C"/>
    <w:rsid w:val="00CB441B"/>
    <w:rsid w:val="00CC0269"/>
    <w:rsid w:val="00CC0E8C"/>
    <w:rsid w:val="00CC1A16"/>
    <w:rsid w:val="00CD03F1"/>
    <w:rsid w:val="00CD0AF4"/>
    <w:rsid w:val="00CE1989"/>
    <w:rsid w:val="00CE226E"/>
    <w:rsid w:val="00CF683C"/>
    <w:rsid w:val="00D156F5"/>
    <w:rsid w:val="00D337AC"/>
    <w:rsid w:val="00D33F0E"/>
    <w:rsid w:val="00D34D70"/>
    <w:rsid w:val="00D37584"/>
    <w:rsid w:val="00D40618"/>
    <w:rsid w:val="00D53ABD"/>
    <w:rsid w:val="00D73530"/>
    <w:rsid w:val="00D74FA6"/>
    <w:rsid w:val="00D91605"/>
    <w:rsid w:val="00DB4775"/>
    <w:rsid w:val="00DB514E"/>
    <w:rsid w:val="00DC0670"/>
    <w:rsid w:val="00DC1D6E"/>
    <w:rsid w:val="00DD5890"/>
    <w:rsid w:val="00DE11B3"/>
    <w:rsid w:val="00E07E4C"/>
    <w:rsid w:val="00E128D7"/>
    <w:rsid w:val="00E140A3"/>
    <w:rsid w:val="00E17407"/>
    <w:rsid w:val="00E25F9E"/>
    <w:rsid w:val="00E326A4"/>
    <w:rsid w:val="00E36C8A"/>
    <w:rsid w:val="00E47648"/>
    <w:rsid w:val="00E63D2B"/>
    <w:rsid w:val="00E701C2"/>
    <w:rsid w:val="00E723F4"/>
    <w:rsid w:val="00E7720B"/>
    <w:rsid w:val="00E80063"/>
    <w:rsid w:val="00E82109"/>
    <w:rsid w:val="00EA4B8D"/>
    <w:rsid w:val="00EB2C79"/>
    <w:rsid w:val="00ED13E4"/>
    <w:rsid w:val="00ED64D6"/>
    <w:rsid w:val="00EE7361"/>
    <w:rsid w:val="00EF33CE"/>
    <w:rsid w:val="00F00F57"/>
    <w:rsid w:val="00F04A84"/>
    <w:rsid w:val="00F22E23"/>
    <w:rsid w:val="00F415DB"/>
    <w:rsid w:val="00F4360E"/>
    <w:rsid w:val="00F5428F"/>
    <w:rsid w:val="00F6605D"/>
    <w:rsid w:val="00F66D3A"/>
    <w:rsid w:val="00F82E34"/>
    <w:rsid w:val="00F912CD"/>
    <w:rsid w:val="00F92392"/>
    <w:rsid w:val="00F95C65"/>
    <w:rsid w:val="00FA32C1"/>
    <w:rsid w:val="00FD1773"/>
    <w:rsid w:val="00FF0CD6"/>
    <w:rsid w:val="00FF0D88"/>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A82815"/>
    <w:pPr>
      <w:keepNext/>
      <w:keepLines/>
      <w:spacing w:before="960" w:after="120" w:line="240" w:lineRule="auto"/>
      <w:outlineLvl w:val="0"/>
    </w:pPr>
    <w:rPr>
      <w:rFonts w:ascii="New Kansas SemiBold" w:eastAsiaTheme="majorEastAsia" w:hAnsi="New Kansas SemiBold" w:cstheme="majorBidi"/>
      <w:bCs/>
      <w:color w:val="00407B"/>
      <w:sz w:val="64"/>
      <w:szCs w:val="32"/>
    </w:rPr>
  </w:style>
  <w:style w:type="paragraph" w:styleId="Heading2">
    <w:name w:val="heading 2"/>
    <w:basedOn w:val="Normal"/>
    <w:next w:val="Normal"/>
    <w:link w:val="Heading2Char"/>
    <w:uiPriority w:val="9"/>
    <w:unhideWhenUsed/>
    <w:qFormat/>
    <w:rsid w:val="00EB2C79"/>
    <w:pPr>
      <w:keepNext/>
      <w:keepLines/>
      <w:spacing w:before="40" w:after="60" w:line="192" w:lineRule="auto"/>
      <w:outlineLvl w:val="1"/>
    </w:pPr>
    <w:rPr>
      <w:rFonts w:ascii="New Kansas SemiBold" w:eastAsiaTheme="majorEastAsia" w:hAnsi="New Kansas SemiBold" w:cstheme="majorBidi"/>
      <w:b/>
      <w:color w:val="00407B"/>
      <w:sz w:val="48"/>
      <w:szCs w:val="26"/>
    </w:rPr>
  </w:style>
  <w:style w:type="paragraph" w:styleId="Heading3">
    <w:name w:val="heading 3"/>
    <w:basedOn w:val="Normal"/>
    <w:next w:val="Normal"/>
    <w:link w:val="Heading3Char"/>
    <w:uiPriority w:val="9"/>
    <w:unhideWhenUsed/>
    <w:qFormat/>
    <w:rsid w:val="00A82815"/>
    <w:pPr>
      <w:keepNext/>
      <w:keepLines/>
      <w:spacing w:before="240" w:after="20" w:line="192" w:lineRule="auto"/>
      <w:outlineLvl w:val="2"/>
    </w:pPr>
    <w:rPr>
      <w:rFonts w:ascii="Lexend Deca SemiBold" w:eastAsiaTheme="majorEastAsia" w:hAnsi="Lexend Deca SemiBold" w:cstheme="majorBidi"/>
      <w:bCs/>
      <w:color w:val="00407B"/>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0563C1"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954F72" w:themeColor="followedHyperlink"/>
      <w:u w:val="single"/>
    </w:rPr>
  </w:style>
  <w:style w:type="character" w:customStyle="1" w:styleId="Heading1Char">
    <w:name w:val="Heading 1 Char"/>
    <w:basedOn w:val="DefaultParagraphFont"/>
    <w:link w:val="Heading1"/>
    <w:uiPriority w:val="9"/>
    <w:rsid w:val="00A82815"/>
    <w:rPr>
      <w:rFonts w:ascii="New Kansas SemiBold" w:eastAsiaTheme="majorEastAsia" w:hAnsi="New Kansas SemiBold" w:cstheme="majorBidi"/>
      <w:bCs/>
      <w:color w:val="00407B"/>
      <w:kern w:val="0"/>
      <w:sz w:val="64"/>
      <w:szCs w:val="32"/>
      <w14:ligatures w14:val="none"/>
    </w:rPr>
  </w:style>
  <w:style w:type="character" w:customStyle="1" w:styleId="Heading2Char">
    <w:name w:val="Heading 2 Char"/>
    <w:basedOn w:val="DefaultParagraphFont"/>
    <w:link w:val="Heading2"/>
    <w:uiPriority w:val="9"/>
    <w:rsid w:val="00EB2C79"/>
    <w:rPr>
      <w:rFonts w:ascii="New Kansas SemiBold" w:eastAsiaTheme="majorEastAsia" w:hAnsi="New Kansas SemiBold" w:cstheme="majorBidi"/>
      <w:b/>
      <w:color w:val="00407B"/>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A82815"/>
    <w:rPr>
      <w:rFonts w:ascii="Lexend Deca SemiBold" w:eastAsiaTheme="majorEastAsia" w:hAnsi="Lexend Deca SemiBold" w:cstheme="majorBidi"/>
      <w:bCs/>
      <w:color w:val="00407B"/>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rsid w:val="00E723F4"/>
    <w:pPr>
      <w:ind w:left="720"/>
      <w:contextualSpacing/>
    </w:pPr>
  </w:style>
  <w:style w:type="paragraph" w:customStyle="1" w:styleId="Bodytextbullets">
    <w:name w:val="Body text bullets"/>
    <w:basedOn w:val="ListParagraph"/>
    <w:qFormat/>
    <w:rsid w:val="00C02A20"/>
    <w:pPr>
      <w:numPr>
        <w:numId w:val="1"/>
      </w:numPr>
      <w:spacing w:before="80" w:after="80"/>
      <w:ind w:left="357" w:hanging="357"/>
      <w:contextualSpacing w:val="0"/>
    </w:pPr>
    <w:rPr>
      <w:rFonts w:ascii="Lexend Deca Light" w:eastAsiaTheme="minorEastAsia" w:hAnsi="Lexend Deca Light"/>
      <w:color w:val="2E2726"/>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4A5829"/>
    <w:pPr>
      <w:spacing w:after="0" w:line="259" w:lineRule="auto"/>
      <w:outlineLvl w:val="9"/>
    </w:pPr>
    <w:rPr>
      <w:b/>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Bullettext">
    <w:name w:val="Bullet text"/>
    <w:basedOn w:val="Normal"/>
    <w:next w:val="Normal"/>
    <w:link w:val="BullettextChar"/>
    <w:qFormat/>
    <w:rsid w:val="00D91605"/>
    <w:pPr>
      <w:numPr>
        <w:numId w:val="14"/>
      </w:numPr>
      <w:spacing w:before="120" w:after="120" w:line="240" w:lineRule="auto"/>
    </w:pPr>
    <w:rPr>
      <w:rFonts w:ascii="Calibri" w:eastAsiaTheme="minorEastAsia" w:hAnsi="Calibri" w:cs="Arial"/>
      <w:color w:val="000000" w:themeColor="text1"/>
      <w:sz w:val="24"/>
      <w:szCs w:val="20"/>
    </w:rPr>
  </w:style>
  <w:style w:type="character" w:customStyle="1" w:styleId="BullettextChar">
    <w:name w:val="Bullet text Char"/>
    <w:basedOn w:val="DefaultParagraphFont"/>
    <w:link w:val="Bullettext"/>
    <w:rsid w:val="00D91605"/>
    <w:rPr>
      <w:rFonts w:ascii="Calibri" w:eastAsiaTheme="minorEastAsia" w:hAnsi="Calibri" w:cs="Arial"/>
      <w:color w:val="000000" w:themeColor="text1"/>
      <w:kern w:val="0"/>
      <w:szCs w:val="20"/>
      <w14:ligatures w14:val="none"/>
    </w:rPr>
  </w:style>
  <w:style w:type="paragraph" w:customStyle="1" w:styleId="smallbullet">
    <w:name w:val="small bullet"/>
    <w:basedOn w:val="Bullettext"/>
    <w:link w:val="smallbulletChar"/>
    <w:rsid w:val="009E39C1"/>
    <w:pPr>
      <w:numPr>
        <w:numId w:val="15"/>
      </w:numPr>
      <w:spacing w:before="20" w:after="20"/>
    </w:pPr>
    <w:rPr>
      <w:sz w:val="22"/>
      <w:szCs w:val="18"/>
    </w:rPr>
  </w:style>
  <w:style w:type="character" w:customStyle="1" w:styleId="smallbulletChar">
    <w:name w:val="small bullet Char"/>
    <w:basedOn w:val="BullettextChar"/>
    <w:link w:val="smallbullet"/>
    <w:rsid w:val="009E39C1"/>
    <w:rPr>
      <w:rFonts w:ascii="Calibri" w:eastAsiaTheme="minorEastAsia" w:hAnsi="Calibri" w:cs="Arial"/>
      <w:color w:val="000000" w:themeColor="text1"/>
      <w:kern w:val="0"/>
      <w:sz w:val="22"/>
      <w:szCs w:val="18"/>
      <w14:ligatures w14:val="none"/>
    </w:rPr>
  </w:style>
  <w:style w:type="paragraph" w:customStyle="1" w:styleId="MainText">
    <w:name w:val="Main Text"/>
    <w:basedOn w:val="Normal"/>
    <w:link w:val="MainTextChar"/>
    <w:qFormat/>
    <w:rsid w:val="00CE1989"/>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CE1989"/>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CE1989"/>
    <w:rPr>
      <w:rFonts w:cstheme="majorHAnsi"/>
      <w:b/>
      <w:bCs/>
      <w:color w:val="054078"/>
    </w:rPr>
  </w:style>
  <w:style w:type="character" w:customStyle="1" w:styleId="BoldemphasisChar">
    <w:name w:val="Bold emphasis Char"/>
    <w:basedOn w:val="MainTextChar"/>
    <w:link w:val="Boldemphasis"/>
    <w:rsid w:val="00CE1989"/>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CE1989"/>
    <w:pPr>
      <w:keepNext/>
      <w:keepLines/>
      <w:spacing w:before="40" w:after="40" w:line="240" w:lineRule="auto"/>
      <w:outlineLvl w:val="2"/>
    </w:pPr>
    <w:rPr>
      <w:rFonts w:ascii="Calibri" w:eastAsia="Times New Roman" w:hAnsi="Calibri" w:cs="Times New Roman"/>
      <w:b/>
      <w:color w:val="054078"/>
      <w:sz w:val="28"/>
      <w:szCs w:val="24"/>
    </w:rPr>
  </w:style>
  <w:style w:type="paragraph" w:styleId="Revision">
    <w:name w:val="Revision"/>
    <w:hidden/>
    <w:uiPriority w:val="99"/>
    <w:semiHidden/>
    <w:rsid w:val="003E60BF"/>
    <w:rPr>
      <w:rFonts w:ascii="Calibri Light" w:hAnsi="Calibri Light"/>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 w:id="1880511773">
      <w:bodyDiv w:val="1"/>
      <w:marLeft w:val="0"/>
      <w:marRight w:val="0"/>
      <w:marTop w:val="0"/>
      <w:marBottom w:val="0"/>
      <w:divBdr>
        <w:top w:val="none" w:sz="0" w:space="0" w:color="auto"/>
        <w:left w:val="none" w:sz="0" w:space="0" w:color="auto"/>
        <w:bottom w:val="none" w:sz="0" w:space="0" w:color="auto"/>
        <w:right w:val="none" w:sz="0" w:space="0" w:color="auto"/>
      </w:divBdr>
    </w:div>
    <w:div w:id="208463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a.org.uk/knowledge-centre/governance-professional-role-descrip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2d95e2c16d4625a45fe5f571a0ddb85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6933dbb1ffb6753dfce25401f4cc362e"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73726-6C60-4899-9424-8B2FDB3D0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3.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4.xml><?xml version="1.0" encoding="utf-8"?>
<ds:datastoreItem xmlns:ds="http://schemas.openxmlformats.org/officeDocument/2006/customXml" ds:itemID="{78D73310-6CFC-49E2-84E3-6B5E61853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3974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role description</dc:title>
  <dc:subject>Governing board roles</dc:subject>
  <dc:creator>National Governance Association</dc:creator>
  <cp:keywords/>
  <dc:description/>
  <cp:lastModifiedBy>Ella Colley</cp:lastModifiedBy>
  <cp:revision>5</cp:revision>
  <cp:lastPrinted>2023-05-04T11:41:00Z</cp:lastPrinted>
  <dcterms:created xsi:type="dcterms:W3CDTF">2024-04-08T14:08:00Z</dcterms:created>
  <dcterms:modified xsi:type="dcterms:W3CDTF">2024-04-08T14:10:00Z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