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310" w14:textId="77777777" w:rsidR="00AA0F0F" w:rsidRPr="003A0314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Job Title: Head of Governance and Risk</w:t>
      </w:r>
    </w:p>
    <w:p w14:paraId="1AAC765D" w14:textId="0D9F1F12" w:rsidR="0085449B" w:rsidRPr="003A0314" w:rsidRDefault="00AA0F0F" w:rsidP="003A03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Location:</w:t>
      </w:r>
      <w:r w:rsidRPr="003A0314">
        <w:rPr>
          <w:rFonts w:ascii="Arial" w:hAnsi="Arial" w:cs="Arial"/>
          <w:sz w:val="20"/>
          <w:szCs w:val="20"/>
        </w:rPr>
        <w:t xml:space="preserve"> [</w:t>
      </w:r>
      <w:r w:rsidR="00AB1197" w:rsidRPr="003A0314">
        <w:rPr>
          <w:rFonts w:ascii="Arial" w:hAnsi="Arial" w:cs="Arial"/>
          <w:sz w:val="20"/>
          <w:szCs w:val="20"/>
        </w:rPr>
        <w:t>Hybrid / Leicester</w:t>
      </w:r>
      <w:r w:rsidRPr="003A0314">
        <w:rPr>
          <w:rFonts w:ascii="Arial" w:hAnsi="Arial" w:cs="Arial"/>
          <w:sz w:val="20"/>
          <w:szCs w:val="20"/>
        </w:rPr>
        <w:t>]</w:t>
      </w:r>
      <w:r w:rsidRPr="003A0314">
        <w:rPr>
          <w:rFonts w:ascii="Arial" w:hAnsi="Arial" w:cs="Arial"/>
          <w:sz w:val="20"/>
          <w:szCs w:val="20"/>
        </w:rPr>
        <w:br/>
      </w:r>
      <w:r w:rsidRPr="003A0314">
        <w:rPr>
          <w:rFonts w:ascii="Arial" w:hAnsi="Arial" w:cs="Arial"/>
          <w:b/>
          <w:bCs/>
          <w:sz w:val="20"/>
          <w:szCs w:val="20"/>
        </w:rPr>
        <w:t>Reports to:</w:t>
      </w:r>
      <w:r w:rsidRPr="003A0314">
        <w:rPr>
          <w:rFonts w:ascii="Arial" w:hAnsi="Arial" w:cs="Arial"/>
          <w:sz w:val="20"/>
          <w:szCs w:val="20"/>
        </w:rPr>
        <w:t xml:space="preserve"> </w:t>
      </w:r>
      <w:r w:rsidR="0085449B" w:rsidRPr="003A0314">
        <w:rPr>
          <w:rFonts w:ascii="Arial" w:hAnsi="Arial" w:cs="Arial"/>
          <w:sz w:val="20"/>
          <w:szCs w:val="20"/>
        </w:rPr>
        <w:t xml:space="preserve">Chief Strategy and Governance Officer </w:t>
      </w:r>
      <w:r w:rsidR="00B31FA9" w:rsidRPr="003A0314">
        <w:rPr>
          <w:rFonts w:ascii="Arial" w:hAnsi="Arial" w:cs="Arial"/>
          <w:sz w:val="20"/>
          <w:szCs w:val="20"/>
        </w:rPr>
        <w:t>(CSGO)</w:t>
      </w:r>
    </w:p>
    <w:p w14:paraId="61E3CFE5" w14:textId="12720E50" w:rsidR="009E4BC4" w:rsidRPr="003A0314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Contract Type:</w:t>
      </w:r>
      <w:r w:rsidRPr="003A0314">
        <w:rPr>
          <w:rFonts w:ascii="Arial" w:hAnsi="Arial" w:cs="Arial"/>
          <w:sz w:val="20"/>
          <w:szCs w:val="20"/>
        </w:rPr>
        <w:t xml:space="preserve"> [</w:t>
      </w:r>
      <w:r w:rsidR="0085449B" w:rsidRPr="003A0314">
        <w:rPr>
          <w:rFonts w:ascii="Arial" w:hAnsi="Arial" w:cs="Arial"/>
          <w:sz w:val="20"/>
          <w:szCs w:val="20"/>
        </w:rPr>
        <w:t>F</w:t>
      </w:r>
      <w:r w:rsidRPr="003A0314">
        <w:rPr>
          <w:rFonts w:ascii="Arial" w:hAnsi="Arial" w:cs="Arial"/>
          <w:sz w:val="20"/>
          <w:szCs w:val="20"/>
        </w:rPr>
        <w:t>ull-time</w:t>
      </w:r>
      <w:r w:rsidR="0085449B" w:rsidRPr="003A0314">
        <w:rPr>
          <w:rFonts w:ascii="Arial" w:hAnsi="Arial" w:cs="Arial"/>
          <w:sz w:val="20"/>
          <w:szCs w:val="20"/>
        </w:rPr>
        <w:t>,</w:t>
      </w:r>
      <w:r w:rsidRPr="003A0314">
        <w:rPr>
          <w:rFonts w:ascii="Arial" w:hAnsi="Arial" w:cs="Arial"/>
          <w:sz w:val="20"/>
          <w:szCs w:val="20"/>
        </w:rPr>
        <w:t xml:space="preserve"> Permanent]</w:t>
      </w:r>
      <w:r w:rsidRPr="003A0314">
        <w:rPr>
          <w:rFonts w:ascii="Arial" w:hAnsi="Arial" w:cs="Arial"/>
          <w:sz w:val="20"/>
          <w:szCs w:val="20"/>
        </w:rPr>
        <w:br/>
      </w:r>
      <w:r w:rsidRPr="003A0314">
        <w:rPr>
          <w:rFonts w:ascii="Arial" w:hAnsi="Arial" w:cs="Arial"/>
          <w:b/>
          <w:bCs/>
          <w:sz w:val="20"/>
          <w:szCs w:val="20"/>
        </w:rPr>
        <w:t>Salary:</w:t>
      </w:r>
      <w:r w:rsidRPr="003A0314">
        <w:rPr>
          <w:rFonts w:ascii="Arial" w:hAnsi="Arial" w:cs="Arial"/>
          <w:sz w:val="20"/>
          <w:szCs w:val="20"/>
        </w:rPr>
        <w:t xml:space="preserve"> [</w:t>
      </w:r>
      <w:r w:rsidR="00F54C8B" w:rsidRPr="003A0314">
        <w:rPr>
          <w:rFonts w:ascii="Arial" w:hAnsi="Arial" w:cs="Arial"/>
          <w:sz w:val="20"/>
          <w:szCs w:val="20"/>
        </w:rPr>
        <w:t>£</w:t>
      </w:r>
      <w:r w:rsidR="003342DF">
        <w:rPr>
          <w:rFonts w:ascii="Arial" w:hAnsi="Arial" w:cs="Arial"/>
          <w:sz w:val="20"/>
          <w:szCs w:val="20"/>
        </w:rPr>
        <w:t>60,000</w:t>
      </w:r>
      <w:r w:rsidRPr="003A0314">
        <w:rPr>
          <w:rFonts w:ascii="Arial" w:hAnsi="Arial" w:cs="Arial"/>
          <w:sz w:val="20"/>
          <w:szCs w:val="20"/>
        </w:rPr>
        <w:t>]</w:t>
      </w:r>
      <w:r w:rsidRPr="003A0314">
        <w:rPr>
          <w:rFonts w:ascii="Arial" w:hAnsi="Arial" w:cs="Arial"/>
          <w:sz w:val="20"/>
          <w:szCs w:val="20"/>
        </w:rPr>
        <w:br/>
      </w:r>
    </w:p>
    <w:p w14:paraId="4F48B63B" w14:textId="2D1443FE" w:rsidR="00AA0F0F" w:rsidRDefault="00A0240A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Job Summary</w:t>
      </w:r>
    </w:p>
    <w:p w14:paraId="2A484F01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83D9FD" w14:textId="15168D32" w:rsidR="00AA0F0F" w:rsidRDefault="00AA0F0F" w:rsidP="003A03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Reporting to the </w:t>
      </w:r>
      <w:r w:rsidR="00F75FC9" w:rsidRPr="003A0314">
        <w:rPr>
          <w:rFonts w:ascii="Arial" w:hAnsi="Arial" w:cs="Arial"/>
          <w:sz w:val="20"/>
          <w:szCs w:val="20"/>
        </w:rPr>
        <w:t>Chief Strategy and Governance Officer</w:t>
      </w:r>
      <w:r w:rsidRPr="003A0314">
        <w:rPr>
          <w:rFonts w:ascii="Arial" w:hAnsi="Arial" w:cs="Arial"/>
          <w:sz w:val="20"/>
          <w:szCs w:val="20"/>
        </w:rPr>
        <w:t xml:space="preserve">, the Head of Governance and Risk will lead on the </w:t>
      </w:r>
      <w:proofErr w:type="gramStart"/>
      <w:r w:rsidR="00AB62C1" w:rsidRPr="003A0314">
        <w:rPr>
          <w:rFonts w:ascii="Arial" w:hAnsi="Arial" w:cs="Arial"/>
          <w:sz w:val="20"/>
          <w:szCs w:val="20"/>
        </w:rPr>
        <w:t>day to day</w:t>
      </w:r>
      <w:proofErr w:type="gramEnd"/>
      <w:r w:rsidR="00AB62C1" w:rsidRPr="003A0314">
        <w:rPr>
          <w:rFonts w:ascii="Arial" w:hAnsi="Arial" w:cs="Arial"/>
          <w:sz w:val="20"/>
          <w:szCs w:val="20"/>
        </w:rPr>
        <w:t xml:space="preserve"> </w:t>
      </w:r>
      <w:r w:rsidRPr="003A0314">
        <w:rPr>
          <w:rFonts w:ascii="Arial" w:hAnsi="Arial" w:cs="Arial"/>
          <w:sz w:val="20"/>
          <w:szCs w:val="20"/>
        </w:rPr>
        <w:t xml:space="preserve">delivery of the charity’s governance, risk, and compliance frameworks. This role provides expert support to the </w:t>
      </w:r>
      <w:r w:rsidR="00AB62C1" w:rsidRPr="003A0314">
        <w:rPr>
          <w:rFonts w:ascii="Arial" w:hAnsi="Arial" w:cs="Arial"/>
          <w:sz w:val="20"/>
          <w:szCs w:val="20"/>
        </w:rPr>
        <w:t xml:space="preserve">Chief Strategy and Governance Officer, Board of Trustees </w:t>
      </w:r>
      <w:r w:rsidRPr="003A0314">
        <w:rPr>
          <w:rFonts w:ascii="Arial" w:hAnsi="Arial" w:cs="Arial"/>
          <w:sz w:val="20"/>
          <w:szCs w:val="20"/>
        </w:rPr>
        <w:t xml:space="preserve">and senior management </w:t>
      </w:r>
      <w:r w:rsidR="00AB62C1" w:rsidRPr="003A0314">
        <w:rPr>
          <w:rFonts w:ascii="Arial" w:hAnsi="Arial" w:cs="Arial"/>
          <w:sz w:val="20"/>
          <w:szCs w:val="20"/>
        </w:rPr>
        <w:t xml:space="preserve">team </w:t>
      </w:r>
      <w:r w:rsidRPr="003A0314">
        <w:rPr>
          <w:rFonts w:ascii="Arial" w:hAnsi="Arial" w:cs="Arial"/>
          <w:sz w:val="20"/>
          <w:szCs w:val="20"/>
        </w:rPr>
        <w:t>and is responsible for embedding a proactive, organisation-wide approach to risk management and accountability.</w:t>
      </w:r>
    </w:p>
    <w:p w14:paraId="5E015BF2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81F33" w14:textId="77777777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Key Responsibilities</w:t>
      </w:r>
    </w:p>
    <w:p w14:paraId="7F4BC335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01C4F6" w14:textId="77777777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Governance</w:t>
      </w:r>
    </w:p>
    <w:p w14:paraId="69F91903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EDFE9E" w14:textId="5DCA6BC4" w:rsidR="00AA0F0F" w:rsidRPr="003A0314" w:rsidRDefault="00AA0F0F" w:rsidP="003A031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Support the </w:t>
      </w:r>
      <w:r w:rsidR="00B31FA9" w:rsidRPr="003A0314">
        <w:rPr>
          <w:rFonts w:ascii="Arial" w:hAnsi="Arial" w:cs="Arial"/>
          <w:sz w:val="20"/>
          <w:szCs w:val="20"/>
        </w:rPr>
        <w:t>CSGO</w:t>
      </w:r>
      <w:r w:rsidRPr="003A0314">
        <w:rPr>
          <w:rFonts w:ascii="Arial" w:hAnsi="Arial" w:cs="Arial"/>
          <w:sz w:val="20"/>
          <w:szCs w:val="20"/>
        </w:rPr>
        <w:t xml:space="preserve"> in ensuring high standards of governance and regulatory compliance.</w:t>
      </w:r>
    </w:p>
    <w:p w14:paraId="734DA06D" w14:textId="75FE710D" w:rsidR="00AA0F0F" w:rsidRPr="003A0314" w:rsidRDefault="003C7568" w:rsidP="003A031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Oversees </w:t>
      </w:r>
      <w:r w:rsidR="00D95B98" w:rsidRPr="003A0314">
        <w:rPr>
          <w:rFonts w:ascii="Arial" w:hAnsi="Arial" w:cs="Arial"/>
          <w:sz w:val="20"/>
          <w:szCs w:val="20"/>
        </w:rPr>
        <w:t>daily</w:t>
      </w:r>
      <w:r w:rsidR="00AA0F0F" w:rsidRPr="003A0314">
        <w:rPr>
          <w:rFonts w:ascii="Arial" w:hAnsi="Arial" w:cs="Arial"/>
          <w:sz w:val="20"/>
          <w:szCs w:val="20"/>
        </w:rPr>
        <w:t xml:space="preserve"> governance functions, including meeting coordination, paper</w:t>
      </w:r>
      <w:r w:rsidR="00D95B98" w:rsidRPr="003A0314">
        <w:rPr>
          <w:rFonts w:ascii="Arial" w:hAnsi="Arial" w:cs="Arial"/>
          <w:sz w:val="20"/>
          <w:szCs w:val="20"/>
        </w:rPr>
        <w:t xml:space="preserve"> preparation</w:t>
      </w:r>
      <w:r w:rsidR="00AA0F0F" w:rsidRPr="003A0314">
        <w:rPr>
          <w:rFonts w:ascii="Arial" w:hAnsi="Arial" w:cs="Arial"/>
          <w:sz w:val="20"/>
          <w:szCs w:val="20"/>
        </w:rPr>
        <w:t xml:space="preserve">, minute-taking, and </w:t>
      </w:r>
      <w:r w:rsidR="00D95B98" w:rsidRPr="003A0314">
        <w:rPr>
          <w:rFonts w:ascii="Arial" w:hAnsi="Arial" w:cs="Arial"/>
          <w:sz w:val="20"/>
          <w:szCs w:val="20"/>
        </w:rPr>
        <w:t>accurate record keeping</w:t>
      </w:r>
      <w:r w:rsidR="00AA0F0F" w:rsidRPr="003A0314">
        <w:rPr>
          <w:rFonts w:ascii="Arial" w:hAnsi="Arial" w:cs="Arial"/>
          <w:sz w:val="20"/>
          <w:szCs w:val="20"/>
        </w:rPr>
        <w:t>.</w:t>
      </w:r>
    </w:p>
    <w:p w14:paraId="04107C2C" w14:textId="1F13A416" w:rsidR="00AA0F0F" w:rsidRDefault="00AA0F0F" w:rsidP="003A031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Maintain up-to-date knowledge of </w:t>
      </w:r>
      <w:r w:rsidR="001D3D87">
        <w:rPr>
          <w:rFonts w:ascii="Arial" w:hAnsi="Arial" w:cs="Arial"/>
          <w:sz w:val="20"/>
          <w:szCs w:val="20"/>
        </w:rPr>
        <w:t>UK c</w:t>
      </w:r>
      <w:r w:rsidRPr="003A0314">
        <w:rPr>
          <w:rFonts w:ascii="Arial" w:hAnsi="Arial" w:cs="Arial"/>
          <w:sz w:val="20"/>
          <w:szCs w:val="20"/>
        </w:rPr>
        <w:t xml:space="preserve">harity governance </w:t>
      </w:r>
      <w:r w:rsidR="001D3D87">
        <w:rPr>
          <w:rFonts w:ascii="Arial" w:hAnsi="Arial" w:cs="Arial"/>
          <w:sz w:val="20"/>
          <w:szCs w:val="20"/>
        </w:rPr>
        <w:t xml:space="preserve">codes </w:t>
      </w:r>
      <w:r w:rsidRPr="003A0314">
        <w:rPr>
          <w:rFonts w:ascii="Arial" w:hAnsi="Arial" w:cs="Arial"/>
          <w:sz w:val="20"/>
          <w:szCs w:val="20"/>
        </w:rPr>
        <w:t>and provide guidance on best practice and emerging regulatory changes.</w:t>
      </w:r>
    </w:p>
    <w:p w14:paraId="2579E11F" w14:textId="14161A9B" w:rsidR="001D3D87" w:rsidRPr="003A0314" w:rsidRDefault="001D3D87" w:rsidP="003A031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oversight of international subsidiaries ensuring compliance with geographically relevant legislation. </w:t>
      </w:r>
    </w:p>
    <w:p w14:paraId="07786028" w14:textId="77777777" w:rsidR="00AA0F0F" w:rsidRDefault="00AA0F0F" w:rsidP="003A031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Ensure compliance with governing documents and filing obligations with the Charity Commission and Companies House.</w:t>
      </w:r>
    </w:p>
    <w:p w14:paraId="4DA5EFCF" w14:textId="72FC1C2E" w:rsidR="004A292A" w:rsidRDefault="00DD3287" w:rsidP="003A031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the CSGO in </w:t>
      </w:r>
      <w:r w:rsidR="00ED7073">
        <w:rPr>
          <w:rFonts w:ascii="Arial" w:hAnsi="Arial" w:cs="Arial"/>
          <w:sz w:val="20"/>
          <w:szCs w:val="20"/>
        </w:rPr>
        <w:t xml:space="preserve">coordination of strategic and business planning, including preparation of documentation and monitoring of key metrics through the balanced scorecard. </w:t>
      </w:r>
    </w:p>
    <w:p w14:paraId="2BC6D417" w14:textId="2FC04D28" w:rsidR="003A0314" w:rsidRPr="003A0314" w:rsidRDefault="003A0314" w:rsidP="003A031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00D8C8A" w14:textId="77777777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Risk Management</w:t>
      </w:r>
    </w:p>
    <w:p w14:paraId="272697B2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D551D8" w14:textId="5216BC46" w:rsidR="00AA0F0F" w:rsidRPr="003A0314" w:rsidRDefault="00AA0F0F" w:rsidP="003A031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Develop and manage the charity’s </w:t>
      </w:r>
      <w:r w:rsidR="00832225" w:rsidRPr="003A0314">
        <w:rPr>
          <w:rFonts w:ascii="Arial" w:hAnsi="Arial" w:cs="Arial"/>
          <w:sz w:val="20"/>
          <w:szCs w:val="20"/>
        </w:rPr>
        <w:t xml:space="preserve">operational </w:t>
      </w:r>
      <w:r w:rsidRPr="003A0314">
        <w:rPr>
          <w:rFonts w:ascii="Arial" w:hAnsi="Arial" w:cs="Arial"/>
          <w:sz w:val="20"/>
          <w:szCs w:val="20"/>
        </w:rPr>
        <w:t>risk management framework, ensuring risks are regularly identified, assessed, and mitigated across all departments.</w:t>
      </w:r>
    </w:p>
    <w:p w14:paraId="1CB1786E" w14:textId="6EA04301" w:rsidR="00AA0F0F" w:rsidRPr="003A0314" w:rsidRDefault="002B1F81" w:rsidP="003A031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in assisting </w:t>
      </w:r>
      <w:r w:rsidR="00C76FE4">
        <w:rPr>
          <w:rFonts w:ascii="Arial" w:hAnsi="Arial" w:cs="Arial"/>
          <w:sz w:val="20"/>
          <w:szCs w:val="20"/>
        </w:rPr>
        <w:t xml:space="preserve">head </w:t>
      </w:r>
      <w:proofErr w:type="spellStart"/>
      <w:r w:rsidR="00C76FE4">
        <w:rPr>
          <w:rFonts w:ascii="Arial" w:hAnsi="Arial" w:cs="Arial"/>
          <w:sz w:val="20"/>
          <w:szCs w:val="20"/>
        </w:rPr>
        <w:t>ofs</w:t>
      </w:r>
      <w:proofErr w:type="spellEnd"/>
      <w:r w:rsidR="00C76FE4">
        <w:rPr>
          <w:rFonts w:ascii="Arial" w:hAnsi="Arial" w:cs="Arial"/>
          <w:sz w:val="20"/>
          <w:szCs w:val="20"/>
        </w:rPr>
        <w:t xml:space="preserve"> and </w:t>
      </w:r>
      <w:r w:rsidR="00AA0F0F" w:rsidRPr="003A0314">
        <w:rPr>
          <w:rFonts w:ascii="Arial" w:hAnsi="Arial" w:cs="Arial"/>
          <w:sz w:val="20"/>
          <w:szCs w:val="20"/>
        </w:rPr>
        <w:t xml:space="preserve">managers in risk identification and reporting; maintain the organisational risk register and present regular updates to the </w:t>
      </w:r>
      <w:r w:rsidR="00832225" w:rsidRPr="003A0314">
        <w:rPr>
          <w:rFonts w:ascii="Arial" w:hAnsi="Arial" w:cs="Arial"/>
          <w:sz w:val="20"/>
          <w:szCs w:val="20"/>
        </w:rPr>
        <w:t>Business Risk</w:t>
      </w:r>
      <w:r w:rsidR="00AA0F0F" w:rsidRPr="003A0314">
        <w:rPr>
          <w:rFonts w:ascii="Arial" w:hAnsi="Arial" w:cs="Arial"/>
          <w:sz w:val="20"/>
          <w:szCs w:val="20"/>
        </w:rPr>
        <w:t xml:space="preserve"> Committee.</w:t>
      </w:r>
    </w:p>
    <w:p w14:paraId="5F65C6D6" w14:textId="77777777" w:rsidR="00AA0F0F" w:rsidRPr="003A0314" w:rsidRDefault="00AA0F0F" w:rsidP="003A031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Foster a culture of risk awareness and support the development of internal capacity to manage risk effectively.</w:t>
      </w:r>
    </w:p>
    <w:p w14:paraId="5E9DD550" w14:textId="3B09DCBA" w:rsidR="00832225" w:rsidRDefault="00832225" w:rsidP="003A031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Oversee the development of Business Continuity and Risk Contingency Plans</w:t>
      </w:r>
    </w:p>
    <w:p w14:paraId="34EBDFCD" w14:textId="77777777" w:rsidR="003A0314" w:rsidRPr="003A0314" w:rsidRDefault="003A0314" w:rsidP="003A031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E89E664" w14:textId="77777777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Compliance and Internal Policy</w:t>
      </w:r>
    </w:p>
    <w:p w14:paraId="03B2ECA2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5884AF" w14:textId="64FCF707" w:rsidR="00AA0F0F" w:rsidRPr="003A0314" w:rsidRDefault="00AA0F0F" w:rsidP="003A031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Oversee compliance with all relevant regulatory requirements, including data protection (GDPR).</w:t>
      </w:r>
    </w:p>
    <w:p w14:paraId="3DE71F2A" w14:textId="77777777" w:rsidR="00AA0F0F" w:rsidRPr="003A0314" w:rsidRDefault="00AA0F0F" w:rsidP="003A031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Lead the development, implementation, and periodic review of internal policies and procedures to ensure compliance and alignment with best practice.</w:t>
      </w:r>
    </w:p>
    <w:p w14:paraId="66A3762E" w14:textId="18294EE8" w:rsidR="00AA0F0F" w:rsidRDefault="00251A64" w:rsidP="003A031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S</w:t>
      </w:r>
      <w:r w:rsidR="00AA0F0F" w:rsidRPr="003A0314">
        <w:rPr>
          <w:rFonts w:ascii="Arial" w:hAnsi="Arial" w:cs="Arial"/>
          <w:sz w:val="20"/>
          <w:szCs w:val="20"/>
        </w:rPr>
        <w:t xml:space="preserve">upport the organisation’s Data Protection </w:t>
      </w:r>
      <w:r w:rsidRPr="003A0314">
        <w:rPr>
          <w:rFonts w:ascii="Arial" w:hAnsi="Arial" w:cs="Arial"/>
          <w:sz w:val="20"/>
          <w:szCs w:val="20"/>
        </w:rPr>
        <w:t>Lead</w:t>
      </w:r>
      <w:r w:rsidR="00AA0F0F" w:rsidRPr="003A0314">
        <w:rPr>
          <w:rFonts w:ascii="Arial" w:hAnsi="Arial" w:cs="Arial"/>
          <w:sz w:val="20"/>
          <w:szCs w:val="20"/>
        </w:rPr>
        <w:t>, ensuring appropriate data governance is in place.</w:t>
      </w:r>
    </w:p>
    <w:p w14:paraId="0AB72B08" w14:textId="77777777" w:rsidR="003A0314" w:rsidRPr="003A0314" w:rsidRDefault="003A0314" w:rsidP="003A031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F9C071" w14:textId="77777777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Internal Controls and Audit</w:t>
      </w:r>
    </w:p>
    <w:p w14:paraId="3B544CD1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5880F3" w14:textId="14B59DED" w:rsidR="00AA0F0F" w:rsidRPr="003A0314" w:rsidRDefault="00AA0F0F" w:rsidP="003A031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Support the </w:t>
      </w:r>
      <w:r w:rsidR="00251A64" w:rsidRPr="003A0314">
        <w:rPr>
          <w:rFonts w:ascii="Arial" w:hAnsi="Arial" w:cs="Arial"/>
          <w:sz w:val="20"/>
          <w:szCs w:val="20"/>
        </w:rPr>
        <w:t>CSGO</w:t>
      </w:r>
      <w:r w:rsidRPr="003A0314">
        <w:rPr>
          <w:rFonts w:ascii="Arial" w:hAnsi="Arial" w:cs="Arial"/>
          <w:sz w:val="20"/>
          <w:szCs w:val="20"/>
        </w:rPr>
        <w:t xml:space="preserve"> in reviewing and strengthening internal controls and assurance processes.</w:t>
      </w:r>
    </w:p>
    <w:p w14:paraId="6557B235" w14:textId="77777777" w:rsidR="00AA0F0F" w:rsidRPr="003A0314" w:rsidRDefault="00AA0F0F" w:rsidP="003A031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Coordinate internal audits and follow-up </w:t>
      </w:r>
      <w:proofErr w:type="gramStart"/>
      <w:r w:rsidRPr="003A0314">
        <w:rPr>
          <w:rFonts w:ascii="Arial" w:hAnsi="Arial" w:cs="Arial"/>
          <w:sz w:val="20"/>
          <w:szCs w:val="20"/>
        </w:rPr>
        <w:t>actions, and</w:t>
      </w:r>
      <w:proofErr w:type="gramEnd"/>
      <w:r w:rsidRPr="003A0314">
        <w:rPr>
          <w:rFonts w:ascii="Arial" w:hAnsi="Arial" w:cs="Arial"/>
          <w:sz w:val="20"/>
          <w:szCs w:val="20"/>
        </w:rPr>
        <w:t xml:space="preserve"> support external audit preparation where relevant.</w:t>
      </w:r>
    </w:p>
    <w:p w14:paraId="705C837A" w14:textId="77777777" w:rsidR="00AA0F0F" w:rsidRDefault="00AA0F0F" w:rsidP="003A031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Monitor and report on control effectiveness, supporting continuous improvement initiatives.</w:t>
      </w:r>
    </w:p>
    <w:p w14:paraId="0C49DE58" w14:textId="77777777" w:rsidR="003A0314" w:rsidRPr="003A0314" w:rsidRDefault="003A0314" w:rsidP="003A031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0D663487" w14:textId="77777777" w:rsidR="004D3668" w:rsidRDefault="004D366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A969FE0" w14:textId="2C0315C0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lastRenderedPageBreak/>
        <w:t>Person Specification</w:t>
      </w:r>
    </w:p>
    <w:p w14:paraId="1E55D27B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802BBD" w14:textId="77777777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Essential Experience &amp; Qualifications</w:t>
      </w:r>
    </w:p>
    <w:p w14:paraId="73FC02F9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1AE9EB" w14:textId="6924BC81" w:rsidR="00AA0F0F" w:rsidRDefault="00AA0F0F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Significant experience in a </w:t>
      </w:r>
      <w:r w:rsidR="001D3D87">
        <w:rPr>
          <w:rFonts w:ascii="Arial" w:hAnsi="Arial" w:cs="Arial"/>
          <w:sz w:val="20"/>
          <w:szCs w:val="20"/>
        </w:rPr>
        <w:t xml:space="preserve">senior </w:t>
      </w:r>
      <w:r w:rsidRPr="003A0314">
        <w:rPr>
          <w:rFonts w:ascii="Arial" w:hAnsi="Arial" w:cs="Arial"/>
          <w:sz w:val="20"/>
          <w:szCs w:val="20"/>
        </w:rPr>
        <w:t>governance, risk, or compliance role, preferably within the charity, public, or nonprofit sector.</w:t>
      </w:r>
    </w:p>
    <w:p w14:paraId="31E7C82B" w14:textId="14283DFF" w:rsidR="001D3D87" w:rsidRPr="003A0314" w:rsidRDefault="001D3D87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years experience</w:t>
      </w:r>
      <w:proofErr w:type="spellEnd"/>
      <w:r>
        <w:rPr>
          <w:rFonts w:ascii="Arial" w:hAnsi="Arial" w:cs="Arial"/>
          <w:sz w:val="20"/>
          <w:szCs w:val="20"/>
        </w:rPr>
        <w:t xml:space="preserve"> within a similar role </w:t>
      </w:r>
    </w:p>
    <w:p w14:paraId="4A8CCAAA" w14:textId="77777777" w:rsidR="00AA0F0F" w:rsidRDefault="00AA0F0F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Strong working knowledge of UK charity governance and regulatory compliance.</w:t>
      </w:r>
    </w:p>
    <w:p w14:paraId="16FE506F" w14:textId="186B476F" w:rsidR="001D3D87" w:rsidRPr="003A0314" w:rsidRDefault="001D3D87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developing and an understanding of subsidiaries preferably internationally. </w:t>
      </w:r>
    </w:p>
    <w:p w14:paraId="1647C3FC" w14:textId="0EA15273" w:rsidR="00AA0F0F" w:rsidRPr="003A0314" w:rsidRDefault="00AA0F0F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Experience supporting or advising </w:t>
      </w:r>
      <w:r w:rsidR="004738FE" w:rsidRPr="003A0314">
        <w:rPr>
          <w:rFonts w:ascii="Arial" w:hAnsi="Arial" w:cs="Arial"/>
          <w:sz w:val="20"/>
          <w:szCs w:val="20"/>
        </w:rPr>
        <w:t>B</w:t>
      </w:r>
      <w:r w:rsidRPr="003A0314">
        <w:rPr>
          <w:rFonts w:ascii="Arial" w:hAnsi="Arial" w:cs="Arial"/>
          <w:sz w:val="20"/>
          <w:szCs w:val="20"/>
        </w:rPr>
        <w:t xml:space="preserve">oards or </w:t>
      </w:r>
      <w:r w:rsidR="004738FE" w:rsidRPr="003A0314">
        <w:rPr>
          <w:rFonts w:ascii="Arial" w:hAnsi="Arial" w:cs="Arial"/>
          <w:sz w:val="20"/>
          <w:szCs w:val="20"/>
        </w:rPr>
        <w:t>Executive Teams</w:t>
      </w:r>
      <w:r w:rsidRPr="003A0314">
        <w:rPr>
          <w:rFonts w:ascii="Arial" w:hAnsi="Arial" w:cs="Arial"/>
          <w:sz w:val="20"/>
          <w:szCs w:val="20"/>
        </w:rPr>
        <w:t>.</w:t>
      </w:r>
    </w:p>
    <w:p w14:paraId="5A36676C" w14:textId="77777777" w:rsidR="00AA0F0F" w:rsidRPr="003A0314" w:rsidRDefault="00AA0F0F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Proven track record of developing and implementing risk management frameworks.</w:t>
      </w:r>
    </w:p>
    <w:p w14:paraId="742A8202" w14:textId="2C36322E" w:rsidR="00AA0F0F" w:rsidRPr="003A0314" w:rsidRDefault="00AA0F0F" w:rsidP="003A031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Educated to degree level or equivalent; relevant professional qualifications are advantageous.</w:t>
      </w:r>
    </w:p>
    <w:p w14:paraId="0D85AB19" w14:textId="77777777" w:rsid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CA7686" w14:textId="260AF5D5" w:rsidR="00AA0F0F" w:rsidRDefault="00AA0F0F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0314">
        <w:rPr>
          <w:rFonts w:ascii="Arial" w:hAnsi="Arial" w:cs="Arial"/>
          <w:b/>
          <w:bCs/>
          <w:sz w:val="20"/>
          <w:szCs w:val="20"/>
        </w:rPr>
        <w:t>Skills &amp; Attributes</w:t>
      </w:r>
    </w:p>
    <w:p w14:paraId="436ACA6C" w14:textId="77777777" w:rsidR="003A0314" w:rsidRPr="003A0314" w:rsidRDefault="003A0314" w:rsidP="003A0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31A674" w14:textId="77777777" w:rsidR="00AA0F0F" w:rsidRDefault="00AA0F0F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Excellent organisational, communication, and influencing skills.</w:t>
      </w:r>
    </w:p>
    <w:p w14:paraId="2798CD87" w14:textId="1EC53BE9" w:rsidR="00C1617C" w:rsidRDefault="00C1617C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Self motivation</w:t>
      </w:r>
      <w:proofErr w:type="spellEnd"/>
      <w:r>
        <w:rPr>
          <w:rFonts w:ascii="Arial" w:hAnsi="Arial" w:cs="Arial"/>
          <w:sz w:val="20"/>
          <w:szCs w:val="20"/>
        </w:rPr>
        <w:t>, including an ability to use init</w:t>
      </w:r>
      <w:r w:rsidR="001F5AC8">
        <w:rPr>
          <w:rFonts w:ascii="Arial" w:hAnsi="Arial" w:cs="Arial"/>
          <w:sz w:val="20"/>
          <w:szCs w:val="20"/>
        </w:rPr>
        <w:t xml:space="preserve">iative and </w:t>
      </w:r>
      <w:r w:rsidR="00D215BF">
        <w:rPr>
          <w:rFonts w:ascii="Arial" w:hAnsi="Arial" w:cs="Arial"/>
          <w:sz w:val="20"/>
          <w:szCs w:val="20"/>
        </w:rPr>
        <w:t xml:space="preserve">make effective decisions </w:t>
      </w:r>
    </w:p>
    <w:p w14:paraId="2C06FAE5" w14:textId="78FF4806" w:rsidR="005525C4" w:rsidRPr="003A0314" w:rsidRDefault="005525C4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ability to prioritise workloads both individually and for the team</w:t>
      </w:r>
    </w:p>
    <w:p w14:paraId="3ACB9DB0" w14:textId="77777777" w:rsidR="00AA0F0F" w:rsidRPr="003A0314" w:rsidRDefault="00AA0F0F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High attention to detail with the ability to handle sensitive information confidentially.</w:t>
      </w:r>
    </w:p>
    <w:p w14:paraId="306D31FE" w14:textId="77777777" w:rsidR="00AA0F0F" w:rsidRPr="003A0314" w:rsidRDefault="00AA0F0F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Strong analytical and problem-solving abilities.</w:t>
      </w:r>
    </w:p>
    <w:p w14:paraId="6823BAEF" w14:textId="77777777" w:rsidR="00AA0F0F" w:rsidRPr="003A0314" w:rsidRDefault="00AA0F0F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>A collaborative and proactive approach with the ability to work effectively across teams.</w:t>
      </w:r>
    </w:p>
    <w:p w14:paraId="3DC73E9D" w14:textId="5B7412AB" w:rsidR="00AA0F0F" w:rsidRPr="003A0314" w:rsidRDefault="00AA0F0F" w:rsidP="003A031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A0314">
        <w:rPr>
          <w:rFonts w:ascii="Arial" w:hAnsi="Arial" w:cs="Arial"/>
          <w:sz w:val="20"/>
          <w:szCs w:val="20"/>
        </w:rPr>
        <w:t xml:space="preserve">Commitment to the mission and values of </w:t>
      </w:r>
      <w:r w:rsidR="004738FE" w:rsidRPr="003A0314">
        <w:rPr>
          <w:rFonts w:ascii="Arial" w:hAnsi="Arial" w:cs="Arial"/>
          <w:sz w:val="20"/>
          <w:szCs w:val="20"/>
        </w:rPr>
        <w:t>NEBOSH</w:t>
      </w:r>
      <w:r w:rsidRPr="003A0314">
        <w:rPr>
          <w:rFonts w:ascii="Arial" w:hAnsi="Arial" w:cs="Arial"/>
          <w:sz w:val="20"/>
          <w:szCs w:val="20"/>
        </w:rPr>
        <w:t>.</w:t>
      </w:r>
    </w:p>
    <w:p w14:paraId="25EC65CE" w14:textId="77777777" w:rsidR="00C600B0" w:rsidRPr="003A0314" w:rsidRDefault="00C600B0" w:rsidP="003A031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600B0" w:rsidRPr="003A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9B9"/>
    <w:multiLevelType w:val="multilevel"/>
    <w:tmpl w:val="F11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C60E3"/>
    <w:multiLevelType w:val="multilevel"/>
    <w:tmpl w:val="46E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4018"/>
    <w:multiLevelType w:val="multilevel"/>
    <w:tmpl w:val="2C8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41F45"/>
    <w:multiLevelType w:val="multilevel"/>
    <w:tmpl w:val="82E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15939"/>
    <w:multiLevelType w:val="multilevel"/>
    <w:tmpl w:val="3B4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F72C3"/>
    <w:multiLevelType w:val="multilevel"/>
    <w:tmpl w:val="C56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504EE"/>
    <w:multiLevelType w:val="multilevel"/>
    <w:tmpl w:val="7DA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55D6B"/>
    <w:multiLevelType w:val="multilevel"/>
    <w:tmpl w:val="3FCC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951F4"/>
    <w:multiLevelType w:val="multilevel"/>
    <w:tmpl w:val="6D38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A5715"/>
    <w:multiLevelType w:val="multilevel"/>
    <w:tmpl w:val="0D96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3684B"/>
    <w:multiLevelType w:val="multilevel"/>
    <w:tmpl w:val="81E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F69EA"/>
    <w:multiLevelType w:val="multilevel"/>
    <w:tmpl w:val="0126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098050">
    <w:abstractNumId w:val="2"/>
  </w:num>
  <w:num w:numId="2" w16cid:durableId="1336035096">
    <w:abstractNumId w:val="6"/>
  </w:num>
  <w:num w:numId="3" w16cid:durableId="1014964861">
    <w:abstractNumId w:val="3"/>
  </w:num>
  <w:num w:numId="4" w16cid:durableId="43532414">
    <w:abstractNumId w:val="8"/>
  </w:num>
  <w:num w:numId="5" w16cid:durableId="2063748108">
    <w:abstractNumId w:val="11"/>
  </w:num>
  <w:num w:numId="6" w16cid:durableId="1066954160">
    <w:abstractNumId w:val="4"/>
  </w:num>
  <w:num w:numId="7" w16cid:durableId="1035230028">
    <w:abstractNumId w:val="0"/>
  </w:num>
  <w:num w:numId="8" w16cid:durableId="566766673">
    <w:abstractNumId w:val="5"/>
  </w:num>
  <w:num w:numId="9" w16cid:durableId="866676381">
    <w:abstractNumId w:val="9"/>
  </w:num>
  <w:num w:numId="10" w16cid:durableId="323629895">
    <w:abstractNumId w:val="7"/>
  </w:num>
  <w:num w:numId="11" w16cid:durableId="1908178425">
    <w:abstractNumId w:val="10"/>
  </w:num>
  <w:num w:numId="12" w16cid:durableId="8561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0F"/>
    <w:rsid w:val="001D3D87"/>
    <w:rsid w:val="001F5AC8"/>
    <w:rsid w:val="00251A64"/>
    <w:rsid w:val="002B1F81"/>
    <w:rsid w:val="003342DF"/>
    <w:rsid w:val="003A0314"/>
    <w:rsid w:val="003C7568"/>
    <w:rsid w:val="004738FE"/>
    <w:rsid w:val="004A292A"/>
    <w:rsid w:val="004B2D89"/>
    <w:rsid w:val="004D3668"/>
    <w:rsid w:val="00523C27"/>
    <w:rsid w:val="005525C4"/>
    <w:rsid w:val="00657CCB"/>
    <w:rsid w:val="00757F00"/>
    <w:rsid w:val="008258BA"/>
    <w:rsid w:val="00832225"/>
    <w:rsid w:val="0085449B"/>
    <w:rsid w:val="009E4BC4"/>
    <w:rsid w:val="00A0240A"/>
    <w:rsid w:val="00AA0F0F"/>
    <w:rsid w:val="00AB1197"/>
    <w:rsid w:val="00AB62C1"/>
    <w:rsid w:val="00AE4F1C"/>
    <w:rsid w:val="00B31FA9"/>
    <w:rsid w:val="00BB7AEA"/>
    <w:rsid w:val="00C1617C"/>
    <w:rsid w:val="00C600B0"/>
    <w:rsid w:val="00C76FE4"/>
    <w:rsid w:val="00C9345A"/>
    <w:rsid w:val="00CD42CA"/>
    <w:rsid w:val="00D215BF"/>
    <w:rsid w:val="00D95B98"/>
    <w:rsid w:val="00DD3287"/>
    <w:rsid w:val="00E75F41"/>
    <w:rsid w:val="00ED7073"/>
    <w:rsid w:val="00F54C8B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83F1"/>
  <w15:chartTrackingRefBased/>
  <w15:docId w15:val="{33C0B316-A733-46F0-90D7-3ACDFAE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Wise</dc:creator>
  <cp:keywords/>
  <dc:description/>
  <cp:lastModifiedBy>Amy Wright</cp:lastModifiedBy>
  <cp:revision>2</cp:revision>
  <dcterms:created xsi:type="dcterms:W3CDTF">2025-09-26T13:17:00Z</dcterms:created>
  <dcterms:modified xsi:type="dcterms:W3CDTF">2025-09-26T13:17:00Z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b8456-861c-4622-9f54-799fdd3614a6_Enabled">
    <vt:lpwstr>true</vt:lpwstr>
  </property>
  <property fmtid="{D5CDD505-2E9C-101B-9397-08002B2CF9AE}" pid="3" name="MSIP_Label_599b8456-861c-4622-9f54-799fdd3614a6_SetDate">
    <vt:lpwstr>2025-05-09T14:29:47Z</vt:lpwstr>
  </property>
  <property fmtid="{D5CDD505-2E9C-101B-9397-08002B2CF9AE}" pid="4" name="MSIP_Label_599b8456-861c-4622-9f54-799fdd3614a6_Method">
    <vt:lpwstr>Standard</vt:lpwstr>
  </property>
  <property fmtid="{D5CDD505-2E9C-101B-9397-08002B2CF9AE}" pid="5" name="MSIP_Label_599b8456-861c-4622-9f54-799fdd3614a6_Name">
    <vt:lpwstr>defa4170-0d19-0005-0004-bc88714345d2</vt:lpwstr>
  </property>
  <property fmtid="{D5CDD505-2E9C-101B-9397-08002B2CF9AE}" pid="6" name="MSIP_Label_599b8456-861c-4622-9f54-799fdd3614a6_SiteId">
    <vt:lpwstr>7f7b984b-a8ba-4bb3-be63-00af1db6473a</vt:lpwstr>
  </property>
  <property fmtid="{D5CDD505-2E9C-101B-9397-08002B2CF9AE}" pid="7" name="MSIP_Label_599b8456-861c-4622-9f54-799fdd3614a6_ActionId">
    <vt:lpwstr>d57a5e04-e497-4e01-a9f4-1bda92f3fe7a</vt:lpwstr>
  </property>
  <property fmtid="{D5CDD505-2E9C-101B-9397-08002B2CF9AE}" pid="8" name="MSIP_Label_599b8456-861c-4622-9f54-799fdd3614a6_ContentBits">
    <vt:lpwstr>0</vt:lpwstr>
  </property>
  <property fmtid="{D5CDD505-2E9C-101B-9397-08002B2CF9AE}" pid="9" name="MSIP_Label_599b8456-861c-4622-9f54-799fdd3614a6_Tag">
    <vt:lpwstr>10, 3, 0, 1</vt:lpwstr>
  </property>
</Properties>
</file>