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B67E" w14:textId="77777777" w:rsidR="00B56020" w:rsidRDefault="00CD2A14">
      <w:pPr>
        <w:pStyle w:val="BodyText"/>
        <w:ind w:left="60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EBA2F9" wp14:editId="3BD7D192">
            <wp:extent cx="1659194" cy="7663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94" cy="7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4E2D3" w14:textId="77777777" w:rsidR="00B56020" w:rsidRDefault="00B56020">
      <w:pPr>
        <w:pStyle w:val="BodyText"/>
        <w:rPr>
          <w:rFonts w:ascii="Times New Roman"/>
          <w:sz w:val="20"/>
        </w:rPr>
      </w:pPr>
    </w:p>
    <w:p w14:paraId="268EBDCD" w14:textId="77777777" w:rsidR="00B56020" w:rsidRDefault="00B56020">
      <w:pPr>
        <w:pStyle w:val="BodyText"/>
        <w:rPr>
          <w:rFonts w:ascii="Times New Roman"/>
          <w:sz w:val="20"/>
        </w:rPr>
      </w:pPr>
    </w:p>
    <w:p w14:paraId="4D1432C5" w14:textId="77777777" w:rsidR="00B56020" w:rsidRDefault="00B56020">
      <w:pPr>
        <w:pStyle w:val="BodyText"/>
        <w:rPr>
          <w:rFonts w:ascii="Times New Roman"/>
          <w:sz w:val="20"/>
        </w:rPr>
      </w:pPr>
    </w:p>
    <w:p w14:paraId="1AEC8C7B" w14:textId="77777777" w:rsidR="00B56020" w:rsidRDefault="00B56020">
      <w:pPr>
        <w:pStyle w:val="BodyText"/>
        <w:spacing w:before="10"/>
        <w:rPr>
          <w:rFonts w:ascii="Times New Roman"/>
          <w:sz w:val="17"/>
        </w:rPr>
      </w:pPr>
    </w:p>
    <w:p w14:paraId="742E36C6" w14:textId="03CB88AA" w:rsidR="00B56020" w:rsidRPr="00C023A5" w:rsidRDefault="00C023A5">
      <w:pPr>
        <w:pStyle w:val="BodyText"/>
        <w:rPr>
          <w:b/>
          <w:sz w:val="24"/>
          <w:szCs w:val="22"/>
        </w:rPr>
      </w:pPr>
      <w:r w:rsidRPr="00C023A5">
        <w:rPr>
          <w:b/>
          <w:sz w:val="24"/>
          <w:szCs w:val="22"/>
        </w:rPr>
        <w:t>Governance Professional</w:t>
      </w:r>
    </w:p>
    <w:p w14:paraId="1945E318" w14:textId="2925CFEF" w:rsidR="00873A3A" w:rsidRDefault="00873A3A">
      <w:pPr>
        <w:pStyle w:val="BodyText"/>
      </w:pPr>
    </w:p>
    <w:p w14:paraId="2AA6D0DA" w14:textId="5CA70A8B" w:rsidR="00873A3A" w:rsidRDefault="00873A3A">
      <w:pPr>
        <w:pStyle w:val="BodyText"/>
      </w:pPr>
    </w:p>
    <w:p w14:paraId="0F4C5E0D" w14:textId="67D60C65" w:rsidR="00873A3A" w:rsidRPr="00C023A5" w:rsidRDefault="00C023A5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 w:rsidRPr="00C023A5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Hours</w:t>
      </w:r>
      <w:r w:rsidR="00CD2A14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:</w:t>
      </w:r>
      <w:r w:rsidR="00295CBA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</w:t>
      </w:r>
      <w:r w:rsidR="003C0373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6</w:t>
      </w:r>
      <w:r w:rsidR="0086000E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hours per week</w:t>
      </w:r>
      <w:r w:rsidR="008B0BF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, term time only.</w:t>
      </w:r>
    </w:p>
    <w:p w14:paraId="6EDE5B7D" w14:textId="685360CD" w:rsidR="00C023A5" w:rsidRPr="00C023A5" w:rsidRDefault="00C023A5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 w:rsidRPr="00C023A5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Salary:</w:t>
      </w:r>
      <w:r w:rsidR="00CD2A14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</w:t>
      </w:r>
      <w:r w:rsidR="00F52083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Scale </w:t>
      </w:r>
      <w:r w:rsidR="00F71B6E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5</w:t>
      </w:r>
      <w:r w:rsidR="00F52083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</w:t>
      </w:r>
      <w:r w:rsidR="007A2198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(actual Salary £4104.05)</w:t>
      </w:r>
    </w:p>
    <w:p w14:paraId="2128C38E" w14:textId="78BE25DE" w:rsidR="00C023A5" w:rsidRDefault="00C023A5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 w:rsidRPr="00C023A5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Required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: </w:t>
      </w:r>
      <w:r w:rsidR="00A02354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September 2025</w:t>
      </w:r>
    </w:p>
    <w:p w14:paraId="39F4C066" w14:textId="77777777" w:rsidR="00457B87" w:rsidRDefault="00457B87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34FB347A" w14:textId="2418F7B3" w:rsidR="00C023A5" w:rsidRDefault="00C023A5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6C101CE8" w14:textId="23838CBF" w:rsidR="00873A3A" w:rsidRDefault="00C023A5">
      <w:pPr>
        <w:pStyle w:val="BodyText"/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Windsor Learning Partnership are seeking to appoint a well organised, enthusiastic and efficient Governance Professional to support </w:t>
      </w:r>
      <w:r w:rsidR="00A02354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one of </w:t>
      </w:r>
      <w:r w:rsidR="00457B8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our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Local Governing Boards</w:t>
      </w:r>
      <w:r w:rsidR="00822A3B">
        <w:t>.</w:t>
      </w:r>
    </w:p>
    <w:p w14:paraId="4B1D4286" w14:textId="77777777" w:rsidR="00822A3B" w:rsidRDefault="00822A3B">
      <w:pPr>
        <w:pStyle w:val="BodyText"/>
      </w:pPr>
    </w:p>
    <w:p w14:paraId="0FAD87E6" w14:textId="6940257C" w:rsidR="001521F5" w:rsidRDefault="00295CBA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Meetings are held at school in the </w:t>
      </w:r>
      <w:proofErr w:type="gramStart"/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evening</w:t>
      </w:r>
      <w:proofErr w:type="gramEnd"/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and all meeting dates are scheduled at the start of the academic year. The ideal candidate will ensure the smooth running of the Governing Board</w:t>
      </w:r>
      <w:r w:rsidR="00457B8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by demonstrating excellent organisational, communication and I</w:t>
      </w:r>
      <w:r w:rsidR="00CB03FA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T</w:t>
      </w:r>
      <w:r w:rsidR="00457B8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skills.</w:t>
      </w:r>
    </w:p>
    <w:p w14:paraId="2325E3EE" w14:textId="77777777" w:rsidR="001521F5" w:rsidRDefault="001521F5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1AF1C9D1" w14:textId="3F3D066D" w:rsidR="001521F5" w:rsidRDefault="001521F5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Key duties include but are not limited to:</w:t>
      </w:r>
    </w:p>
    <w:p w14:paraId="232C5F03" w14:textId="4773FD21" w:rsidR="006A797C" w:rsidRDefault="00691DD8" w:rsidP="006A797C">
      <w:pPr>
        <w:pStyle w:val="BodyText"/>
        <w:numPr>
          <w:ilvl w:val="0"/>
          <w:numId w:val="2"/>
        </w:numP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Organising meetings, hearings and appeals</w:t>
      </w:r>
    </w:p>
    <w:p w14:paraId="47C2C16A" w14:textId="061494EC" w:rsidR="00691DD8" w:rsidRDefault="00691DD8" w:rsidP="006A797C">
      <w:pPr>
        <w:pStyle w:val="BodyText"/>
        <w:numPr>
          <w:ilvl w:val="0"/>
          <w:numId w:val="2"/>
        </w:numP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Providing advice and guidance to the Local Governing Body</w:t>
      </w:r>
    </w:p>
    <w:p w14:paraId="5EA1DA14" w14:textId="55DA5525" w:rsidR="00691DD8" w:rsidRDefault="00691DD8" w:rsidP="006A797C">
      <w:pPr>
        <w:pStyle w:val="BodyText"/>
        <w:numPr>
          <w:ilvl w:val="0"/>
          <w:numId w:val="2"/>
        </w:numP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Administration and record keeping</w:t>
      </w:r>
    </w:p>
    <w:p w14:paraId="34015A5D" w14:textId="46C6CA31" w:rsidR="00691DD8" w:rsidRDefault="00691DD8" w:rsidP="006A797C">
      <w:pPr>
        <w:pStyle w:val="BodyText"/>
        <w:numPr>
          <w:ilvl w:val="0"/>
          <w:numId w:val="2"/>
        </w:numP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Maintaining relationships and communications</w:t>
      </w:r>
    </w:p>
    <w:p w14:paraId="5347A014" w14:textId="4A8E3A4E" w:rsidR="00691DD8" w:rsidRDefault="00691DD8" w:rsidP="006A797C">
      <w:pPr>
        <w:pStyle w:val="BodyText"/>
        <w:numPr>
          <w:ilvl w:val="0"/>
          <w:numId w:val="2"/>
        </w:numP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Ensuring compliance</w:t>
      </w:r>
    </w:p>
    <w:p w14:paraId="0C7827ED" w14:textId="77777777" w:rsidR="00457B87" w:rsidRDefault="00457B87" w:rsidP="00457B87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343CEA20" w14:textId="6979E2FD" w:rsidR="00873A3A" w:rsidRDefault="00457B87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Windsor Learning Partnership comprises of six schools all located within Windsor</w:t>
      </w:r>
      <w:r w:rsidR="005F0924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. </w:t>
      </w:r>
      <w:r w:rsidR="008B0BF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We are seeking </w:t>
      </w:r>
      <w:r w:rsidR="0028651E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an experienced </w:t>
      </w:r>
      <w:r w:rsidR="008B0BF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Governance Professional to</w:t>
      </w:r>
      <w:r w:rsidR="005F0924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support the Local Governing board </w:t>
      </w:r>
      <w:r w:rsidR="00CB03FA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at </w:t>
      </w:r>
      <w:r w:rsidR="00A02354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The Windsor Boys’ School</w:t>
      </w:r>
      <w:r w:rsidR="005F0924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.</w:t>
      </w:r>
      <w:r w:rsidR="008B0BF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</w:t>
      </w:r>
    </w:p>
    <w:p w14:paraId="5A2B1B2B" w14:textId="77777777" w:rsidR="00457B87" w:rsidRPr="00295CBA" w:rsidRDefault="00457B87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2A31B2AE" w14:textId="56392008" w:rsidR="00457B87" w:rsidRDefault="007F58A7" w:rsidP="00457B87">
      <w:pPr>
        <w:ind w:right="551"/>
        <w:jc w:val="both"/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F</w:t>
      </w:r>
      <w:r w:rsidR="00457B87" w:rsidRPr="00457B8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urther information about the school</w:t>
      </w:r>
      <w:r w:rsidR="00457B8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s within Windsor Learning Partnership</w:t>
      </w:r>
      <w:r w:rsidR="00457B87" w:rsidRPr="00457B8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is available on our </w:t>
      </w:r>
      <w:proofErr w:type="gramStart"/>
      <w:r w:rsidR="00457B87" w:rsidRPr="00457B8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website </w:t>
      </w:r>
      <w:r w:rsidR="006A797C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:</w:t>
      </w:r>
      <w:proofErr w:type="gramEnd"/>
      <w:r w:rsidR="00CC5A20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</w:t>
      </w:r>
      <w:r w:rsidR="008B0BF7" w:rsidRPr="008B0BF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https://www.windsorlearningpartnership.org/vacancies/</w:t>
      </w:r>
    </w:p>
    <w:p w14:paraId="5E9D699C" w14:textId="77777777" w:rsidR="00457B87" w:rsidRPr="00457B87" w:rsidRDefault="00457B87" w:rsidP="00457B87">
      <w:pPr>
        <w:ind w:right="551"/>
        <w:jc w:val="both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25E2E345" w14:textId="3B89D084" w:rsidR="00457B87" w:rsidRPr="00457B87" w:rsidRDefault="00457B87" w:rsidP="00457B87">
      <w:pPr>
        <w:spacing w:before="95"/>
        <w:ind w:right="6577"/>
        <w:outlineLvl w:val="0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 w:rsidRPr="00457B8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Applications will be considered</w:t>
      </w:r>
      <w:r w:rsidR="005F0924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up</w:t>
      </w:r>
      <w:r w:rsidRPr="00457B8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on receipt</w:t>
      </w:r>
      <w:r w:rsidR="00CC5A20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.</w:t>
      </w:r>
    </w:p>
    <w:p w14:paraId="2C7161FC" w14:textId="77777777" w:rsidR="00457B87" w:rsidRPr="00457B87" w:rsidRDefault="00457B87" w:rsidP="00457B87">
      <w:pPr>
        <w:spacing w:before="7"/>
        <w:rPr>
          <w:b/>
          <w:sz w:val="15"/>
          <w:szCs w:val="18"/>
        </w:rPr>
      </w:pPr>
    </w:p>
    <w:p w14:paraId="06E71FA9" w14:textId="4123D71F" w:rsidR="00457B87" w:rsidRDefault="00457B87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170086EC" w14:textId="0A44CA3A" w:rsidR="006A797C" w:rsidRDefault="006A797C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453B3576" w14:textId="77777777" w:rsidR="006A797C" w:rsidRDefault="006A797C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14C8D1B2" w14:textId="14687898" w:rsidR="00457B87" w:rsidRPr="00457B87" w:rsidRDefault="00457B87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  <w:r w:rsidRPr="00457B87">
        <w:rPr>
          <w:rFonts w:ascii="Arial-BoldItalicMT"/>
          <w:b/>
          <w:i/>
          <w:sz w:val="18"/>
        </w:rPr>
        <w:t xml:space="preserve">Windsor Learning Partnership is committed to </w:t>
      </w:r>
      <w:proofErr w:type="gramStart"/>
      <w:r w:rsidRPr="00457B87">
        <w:rPr>
          <w:rFonts w:ascii="Arial-BoldItalicMT"/>
          <w:b/>
          <w:i/>
          <w:sz w:val="18"/>
        </w:rPr>
        <w:t>the safeguarding</w:t>
      </w:r>
      <w:proofErr w:type="gramEnd"/>
      <w:r w:rsidRPr="00457B87">
        <w:rPr>
          <w:rFonts w:ascii="Arial-BoldItalicMT"/>
          <w:b/>
          <w:i/>
          <w:sz w:val="18"/>
        </w:rPr>
        <w:t xml:space="preserve"> children and promoting the welfare of children</w:t>
      </w:r>
      <w:r w:rsidRPr="00457B87">
        <w:rPr>
          <w:rFonts w:ascii="Arial-BoldItalicMT"/>
          <w:b/>
          <w:i/>
          <w:spacing w:val="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and young people and expects all staff and volunteers to share this commitment. We will ensure that all our</w:t>
      </w:r>
      <w:r w:rsidRPr="00457B87">
        <w:rPr>
          <w:rFonts w:ascii="Arial-BoldItalicMT"/>
          <w:b/>
          <w:i/>
          <w:spacing w:val="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recruitment and selection practices reflect this commitment.</w:t>
      </w:r>
      <w:r w:rsidRPr="00457B87">
        <w:rPr>
          <w:rFonts w:ascii="Arial-BoldItalicMT"/>
          <w:b/>
          <w:i/>
          <w:spacing w:val="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All successful candidates</w:t>
      </w:r>
      <w:r w:rsidRPr="00457B87">
        <w:rPr>
          <w:rFonts w:ascii="Arial-BoldItalicMT"/>
          <w:b/>
          <w:i/>
          <w:spacing w:val="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will be subject to</w:t>
      </w:r>
      <w:r w:rsidRPr="00457B87">
        <w:rPr>
          <w:rFonts w:ascii="Arial-BoldItalicMT"/>
          <w:b/>
          <w:i/>
          <w:spacing w:val="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Disclosure</w:t>
      </w:r>
      <w:r w:rsidRPr="00457B87">
        <w:rPr>
          <w:rFonts w:ascii="Arial-BoldItalicMT"/>
          <w:b/>
          <w:i/>
          <w:spacing w:val="-3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and Barring</w:t>
      </w:r>
      <w:r w:rsidRPr="00457B87">
        <w:rPr>
          <w:rFonts w:ascii="Arial-BoldItalicMT"/>
          <w:b/>
          <w:i/>
          <w:spacing w:val="-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Service (DBS)</w:t>
      </w:r>
      <w:r w:rsidRPr="00457B87">
        <w:rPr>
          <w:rFonts w:ascii="Arial-BoldItalicMT"/>
          <w:b/>
          <w:i/>
          <w:spacing w:val="-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checks</w:t>
      </w:r>
      <w:r w:rsidRPr="00457B87">
        <w:rPr>
          <w:rFonts w:ascii="Arial-BoldItalicMT"/>
          <w:b/>
          <w:i/>
          <w:spacing w:val="-2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along</w:t>
      </w:r>
      <w:r w:rsidRPr="00457B87">
        <w:rPr>
          <w:rFonts w:ascii="Arial-BoldItalicMT"/>
          <w:b/>
          <w:i/>
          <w:spacing w:val="-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with</w:t>
      </w:r>
      <w:r w:rsidRPr="00457B87">
        <w:rPr>
          <w:rFonts w:ascii="Arial-BoldItalicMT"/>
          <w:b/>
          <w:i/>
          <w:spacing w:val="-2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other relevant</w:t>
      </w:r>
      <w:r w:rsidRPr="00457B87">
        <w:rPr>
          <w:rFonts w:ascii="Arial-BoldItalicMT"/>
          <w:b/>
          <w:i/>
          <w:spacing w:val="-1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employment</w:t>
      </w:r>
      <w:r w:rsidRPr="00457B87">
        <w:rPr>
          <w:rFonts w:ascii="Arial-BoldItalicMT"/>
          <w:b/>
          <w:i/>
          <w:spacing w:val="-2"/>
          <w:sz w:val="18"/>
        </w:rPr>
        <w:t xml:space="preserve"> </w:t>
      </w:r>
      <w:r w:rsidRPr="00457B87">
        <w:rPr>
          <w:rFonts w:ascii="Arial-BoldItalicMT"/>
          <w:b/>
          <w:i/>
          <w:sz w:val="18"/>
        </w:rPr>
        <w:t>checks.</w:t>
      </w:r>
    </w:p>
    <w:p w14:paraId="772168A3" w14:textId="77777777" w:rsidR="00457B87" w:rsidRPr="00457B87" w:rsidRDefault="00457B87" w:rsidP="00457B87">
      <w:pPr>
        <w:rPr>
          <w:rFonts w:ascii="Arial-BoldItalicMT"/>
          <w:b/>
          <w:i/>
          <w:sz w:val="20"/>
          <w:szCs w:val="18"/>
        </w:rPr>
      </w:pPr>
    </w:p>
    <w:p w14:paraId="20F49968" w14:textId="62ADE6A6" w:rsidR="00873A3A" w:rsidRDefault="00873A3A">
      <w:pPr>
        <w:pStyle w:val="BodyText"/>
      </w:pPr>
    </w:p>
    <w:p w14:paraId="44764D2A" w14:textId="097B1C74" w:rsidR="00873A3A" w:rsidRDefault="00873A3A">
      <w:pPr>
        <w:pStyle w:val="BodyText"/>
      </w:pPr>
    </w:p>
    <w:p w14:paraId="52FF3999" w14:textId="77777777" w:rsidR="00873A3A" w:rsidRDefault="00873A3A">
      <w:pPr>
        <w:pStyle w:val="BodyText"/>
        <w:rPr>
          <w:sz w:val="20"/>
        </w:rPr>
      </w:pPr>
    </w:p>
    <w:p w14:paraId="10DDD2CE" w14:textId="77777777" w:rsidR="00B56020" w:rsidRDefault="00B56020">
      <w:pPr>
        <w:pStyle w:val="BodyText"/>
        <w:rPr>
          <w:sz w:val="20"/>
        </w:rPr>
      </w:pPr>
    </w:p>
    <w:p w14:paraId="59DFB29D" w14:textId="77777777" w:rsidR="00B56020" w:rsidRDefault="00B56020">
      <w:pPr>
        <w:pStyle w:val="BodyText"/>
        <w:spacing w:before="8"/>
        <w:rPr>
          <w:sz w:val="27"/>
        </w:rPr>
      </w:pPr>
    </w:p>
    <w:p w14:paraId="75D40AB9" w14:textId="77777777" w:rsidR="00B56020" w:rsidRDefault="00CD2A14">
      <w:pPr>
        <w:pStyle w:val="BodyText"/>
        <w:spacing w:before="95"/>
        <w:ind w:left="2616" w:right="3456"/>
        <w:jc w:val="center"/>
      </w:pPr>
      <w:r>
        <w:t>Windsor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Partnership: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guarantee Registered in England: Company Number: 9409109</w:t>
      </w:r>
    </w:p>
    <w:p w14:paraId="62AC454E" w14:textId="1B121E3A" w:rsidR="00B56020" w:rsidRDefault="00CD2A14">
      <w:pPr>
        <w:pStyle w:val="BodyText"/>
        <w:ind w:left="1804" w:right="2644"/>
        <w:jc w:val="center"/>
      </w:pPr>
      <w:r>
        <w:t>Registered</w:t>
      </w:r>
      <w:r>
        <w:rPr>
          <w:spacing w:val="-4"/>
        </w:rPr>
        <w:t xml:space="preserve"> </w:t>
      </w:r>
      <w:r>
        <w:t>Office:</w:t>
      </w:r>
      <w:r>
        <w:rPr>
          <w:spacing w:val="-3"/>
        </w:rPr>
        <w:t xml:space="preserve"> </w:t>
      </w:r>
      <w:r>
        <w:t>Windsor</w:t>
      </w:r>
      <w:r>
        <w:rPr>
          <w:spacing w:val="-4"/>
        </w:rPr>
        <w:t xml:space="preserve"> </w:t>
      </w:r>
      <w:r>
        <w:t>Girls’</w:t>
      </w:r>
      <w:r>
        <w:rPr>
          <w:spacing w:val="-4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Imperial</w:t>
      </w:r>
      <w:r>
        <w:rPr>
          <w:spacing w:val="-3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Windsor,</w:t>
      </w:r>
      <w:r>
        <w:rPr>
          <w:spacing w:val="-4"/>
        </w:rPr>
        <w:t xml:space="preserve"> </w:t>
      </w:r>
      <w:r>
        <w:t>Berkshire,</w:t>
      </w:r>
      <w:r>
        <w:rPr>
          <w:spacing w:val="-4"/>
        </w:rPr>
        <w:t xml:space="preserve"> </w:t>
      </w:r>
      <w:r>
        <w:t>SL4</w:t>
      </w:r>
      <w:r>
        <w:rPr>
          <w:spacing w:val="-6"/>
        </w:rPr>
        <w:t xml:space="preserve"> </w:t>
      </w:r>
      <w:r>
        <w:t xml:space="preserve">3RT Telephone: 01753 795155 </w:t>
      </w:r>
    </w:p>
    <w:p w14:paraId="6744297A" w14:textId="3CF829ED" w:rsidR="00D73879" w:rsidRDefault="00D73879">
      <w:pPr>
        <w:pStyle w:val="BodyText"/>
        <w:ind w:left="1804" w:right="2644"/>
        <w:jc w:val="center"/>
      </w:pPr>
    </w:p>
    <w:p w14:paraId="2378445B" w14:textId="27C4E682" w:rsidR="00D73879" w:rsidRDefault="00D73879" w:rsidP="00D73879">
      <w:pPr>
        <w:pStyle w:val="Heading2"/>
      </w:pPr>
      <w:r>
        <w:lastRenderedPageBreak/>
        <w:t xml:space="preserve">Governance professional job description </w:t>
      </w:r>
    </w:p>
    <w:tbl>
      <w:tblPr>
        <w:tblStyle w:val="TableGrid"/>
        <w:tblpPr w:leftFromText="180" w:rightFromText="180" w:vertAnchor="page" w:horzAnchor="margin" w:tblpY="18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3879" w:rsidRPr="005A16EB" w14:paraId="6E19B96E" w14:textId="77777777" w:rsidTr="00D73879">
        <w:tc>
          <w:tcPr>
            <w:tcW w:w="9351" w:type="dxa"/>
          </w:tcPr>
          <w:p w14:paraId="3946D9AE" w14:textId="77777777" w:rsidR="00D73879" w:rsidRPr="001F3023" w:rsidRDefault="00D73879" w:rsidP="00D73879">
            <w:pPr>
              <w:pStyle w:val="Heading3"/>
              <w:spacing w:before="0"/>
              <w:rPr>
                <w:szCs w:val="28"/>
              </w:rPr>
            </w:pPr>
            <w:r w:rsidRPr="001F3023">
              <w:rPr>
                <w:szCs w:val="28"/>
              </w:rPr>
              <w:t>Role purpose</w:t>
            </w:r>
          </w:p>
        </w:tc>
      </w:tr>
      <w:tr w:rsidR="00D73879" w:rsidRPr="005A16EB" w14:paraId="4B62F0BB" w14:textId="77777777" w:rsidTr="00D73879">
        <w:tc>
          <w:tcPr>
            <w:tcW w:w="9351" w:type="dxa"/>
          </w:tcPr>
          <w:p w14:paraId="6BEBAD44" w14:textId="77777777" w:rsidR="00D73879" w:rsidRPr="00794A7C" w:rsidRDefault="00D73879" w:rsidP="00D73879">
            <w:pPr>
              <w:pStyle w:val="ListParagraph"/>
              <w:jc w:val="both"/>
              <w:rPr>
                <w:rFonts w:cstheme="minorHAnsi"/>
                <w:i/>
                <w:iCs/>
              </w:rPr>
            </w:pPr>
            <w:r w:rsidRPr="00DF6CAB">
              <w:rPr>
                <w:szCs w:val="20"/>
              </w:rPr>
              <w:t>To contribute towards the efficient and effective functioning of a governing board and its committees.</w:t>
            </w:r>
          </w:p>
        </w:tc>
      </w:tr>
    </w:tbl>
    <w:p w14:paraId="56661828" w14:textId="47CBD428" w:rsidR="00D73879" w:rsidRPr="00231B93" w:rsidRDefault="00D73879" w:rsidP="00D73879">
      <w:pPr>
        <w:pStyle w:val="smallbullet"/>
        <w:numPr>
          <w:ilvl w:val="0"/>
          <w:numId w:val="0"/>
        </w:numPr>
        <w:spacing w:before="60" w:after="40"/>
        <w:rPr>
          <w:rFonts w:asciiTheme="minorHAnsi" w:hAnsiTheme="minorHAnsi" w:cstheme="minorHAnsi"/>
          <w:i/>
          <w:iCs/>
          <w:szCs w:val="22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D73879" w:rsidRPr="00794A7C" w14:paraId="5A298697" w14:textId="77777777" w:rsidTr="0084146F">
        <w:tc>
          <w:tcPr>
            <w:tcW w:w="9350" w:type="dxa"/>
          </w:tcPr>
          <w:p w14:paraId="25B98B80" w14:textId="77777777" w:rsidR="00D73879" w:rsidRPr="00794A7C" w:rsidRDefault="00D73879" w:rsidP="00D73879">
            <w:pPr>
              <w:pStyle w:val="Heading4"/>
              <w:numPr>
                <w:ilvl w:val="0"/>
                <w:numId w:val="4"/>
              </w:numPr>
              <w:spacing w:before="0"/>
              <w:ind w:left="307" w:hanging="284"/>
              <w:rPr>
                <w:sz w:val="22"/>
                <w:szCs w:val="20"/>
              </w:rPr>
            </w:pPr>
            <w:r w:rsidRPr="004414D7">
              <w:rPr>
                <w:rFonts w:cstheme="minorHAnsi"/>
                <w:sz w:val="22"/>
                <w:szCs w:val="20"/>
              </w:rPr>
              <w:t>Organising</w:t>
            </w:r>
            <w:r w:rsidRPr="001F3023">
              <w:t xml:space="preserve"> meetings, hearings and appeals</w:t>
            </w:r>
          </w:p>
        </w:tc>
      </w:tr>
      <w:tr w:rsidR="00D73879" w:rsidRPr="00794A7C" w14:paraId="27281567" w14:textId="77777777" w:rsidTr="0084146F">
        <w:tc>
          <w:tcPr>
            <w:tcW w:w="9350" w:type="dxa"/>
          </w:tcPr>
          <w:p w14:paraId="061D2793" w14:textId="4E20467B" w:rsidR="00D73879" w:rsidRDefault="00D73879" w:rsidP="0084146F">
            <w:pPr>
              <w:pStyle w:val="smallbullet"/>
              <w:spacing w:after="80"/>
            </w:pPr>
            <w:r>
              <w:t>w</w:t>
            </w:r>
            <w:r w:rsidRPr="00794A7C">
              <w:t xml:space="preserve">orking with others to prepare agendas </w:t>
            </w:r>
          </w:p>
          <w:p w14:paraId="473CCAFA" w14:textId="342F28D1" w:rsidR="008B0BF7" w:rsidRDefault="008B0BF7" w:rsidP="0084146F">
            <w:pPr>
              <w:pStyle w:val="smallbullet"/>
              <w:spacing w:after="80"/>
            </w:pPr>
            <w:r>
              <w:rPr>
                <w:sz w:val="22"/>
              </w:rPr>
              <w:t>f</w:t>
            </w:r>
            <w:r w:rsidRPr="00794A7C">
              <w:rPr>
                <w:sz w:val="22"/>
              </w:rPr>
              <w:t>ollowing up on agreed action points</w:t>
            </w:r>
          </w:p>
          <w:p w14:paraId="2783E847" w14:textId="77777777" w:rsidR="00D73879" w:rsidRPr="00794A7C" w:rsidRDefault="00D73879" w:rsidP="0084146F">
            <w:pPr>
              <w:pStyle w:val="smallbullet"/>
              <w:spacing w:before="60" w:after="80"/>
            </w:pPr>
            <w:r>
              <w:t>c</w:t>
            </w:r>
            <w:r w:rsidRPr="00794A7C">
              <w:t xml:space="preserve">onvening meetings and distributing papers </w:t>
            </w:r>
          </w:p>
          <w:p w14:paraId="0A72B646" w14:textId="77777777" w:rsidR="00D73879" w:rsidRPr="00794A7C" w:rsidRDefault="00D73879" w:rsidP="00D73879">
            <w:pPr>
              <w:pStyle w:val="Bullettext"/>
              <w:numPr>
                <w:ilvl w:val="0"/>
                <w:numId w:val="5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</w:t>
            </w:r>
            <w:r w:rsidRPr="00794A7C">
              <w:rPr>
                <w:sz w:val="22"/>
                <w:szCs w:val="18"/>
              </w:rPr>
              <w:t xml:space="preserve">verseeing election of officers </w:t>
            </w:r>
          </w:p>
          <w:p w14:paraId="6DC76408" w14:textId="77777777" w:rsidR="00D73879" w:rsidRPr="00794A7C" w:rsidRDefault="00D73879" w:rsidP="00D73879">
            <w:pPr>
              <w:pStyle w:val="Bullettext"/>
              <w:numPr>
                <w:ilvl w:val="0"/>
                <w:numId w:val="5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</w:t>
            </w:r>
            <w:r w:rsidRPr="00794A7C">
              <w:rPr>
                <w:sz w:val="22"/>
                <w:szCs w:val="18"/>
              </w:rPr>
              <w:t>ecording attendance/apologies</w:t>
            </w:r>
          </w:p>
          <w:p w14:paraId="1555877C" w14:textId="77777777" w:rsidR="00D73879" w:rsidRPr="00794A7C" w:rsidRDefault="00D73879" w:rsidP="00D73879">
            <w:pPr>
              <w:pStyle w:val="Bullettext"/>
              <w:numPr>
                <w:ilvl w:val="0"/>
                <w:numId w:val="5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Pr="00794A7C">
              <w:rPr>
                <w:sz w:val="22"/>
                <w:szCs w:val="18"/>
              </w:rPr>
              <w:t>ollowing up non-attendance</w:t>
            </w:r>
          </w:p>
          <w:p w14:paraId="0D3B6E33" w14:textId="77777777" w:rsidR="00D73879" w:rsidRPr="00794A7C" w:rsidRDefault="00D73879" w:rsidP="00D73879">
            <w:pPr>
              <w:pStyle w:val="Bullettext"/>
              <w:numPr>
                <w:ilvl w:val="0"/>
                <w:numId w:val="5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</w:t>
            </w:r>
            <w:r w:rsidRPr="00794A7C">
              <w:rPr>
                <w:sz w:val="22"/>
                <w:szCs w:val="18"/>
              </w:rPr>
              <w:t>aking minutes</w:t>
            </w:r>
          </w:p>
          <w:p w14:paraId="3BFF5F50" w14:textId="77777777" w:rsidR="00D73879" w:rsidRPr="00794A7C" w:rsidRDefault="00D73879" w:rsidP="00D73879">
            <w:pPr>
              <w:pStyle w:val="Bullettext"/>
              <w:numPr>
                <w:ilvl w:val="0"/>
                <w:numId w:val="5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</w:t>
            </w:r>
            <w:r w:rsidRPr="00794A7C">
              <w:rPr>
                <w:sz w:val="22"/>
                <w:szCs w:val="18"/>
              </w:rPr>
              <w:t>irculating draft and approved minutes</w:t>
            </w:r>
          </w:p>
          <w:p w14:paraId="4EF85029" w14:textId="30245415" w:rsidR="00D73879" w:rsidRPr="00794A7C" w:rsidRDefault="008B0BF7" w:rsidP="00D73879">
            <w:pPr>
              <w:pStyle w:val="Bullettext"/>
              <w:numPr>
                <w:ilvl w:val="0"/>
                <w:numId w:val="5"/>
              </w:numPr>
              <w:spacing w:before="60" w:after="8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organising panel hearings and appeals</w:t>
            </w:r>
          </w:p>
        </w:tc>
      </w:tr>
      <w:tr w:rsidR="00D73879" w:rsidRPr="00794A7C" w14:paraId="27E7BAC1" w14:textId="77777777" w:rsidTr="0084146F">
        <w:tc>
          <w:tcPr>
            <w:tcW w:w="9350" w:type="dxa"/>
          </w:tcPr>
          <w:p w14:paraId="47C9E875" w14:textId="77777777" w:rsidR="00D73879" w:rsidRPr="001F3023" w:rsidRDefault="00D73879" w:rsidP="00D73879">
            <w:pPr>
              <w:pStyle w:val="Heading4"/>
              <w:numPr>
                <w:ilvl w:val="0"/>
                <w:numId w:val="4"/>
              </w:numPr>
              <w:spacing w:before="0"/>
              <w:ind w:left="307" w:hanging="284"/>
              <w:rPr>
                <w:szCs w:val="24"/>
              </w:rPr>
            </w:pPr>
            <w:r w:rsidRPr="004414D7">
              <w:rPr>
                <w:rFonts w:cstheme="minorHAnsi"/>
                <w:sz w:val="22"/>
                <w:szCs w:val="20"/>
              </w:rPr>
              <w:t>Providing</w:t>
            </w:r>
            <w:r w:rsidRPr="001F3023">
              <w:rPr>
                <w:rFonts w:cstheme="minorHAnsi"/>
                <w:szCs w:val="24"/>
              </w:rPr>
              <w:t xml:space="preserve"> advice and guidance</w:t>
            </w:r>
          </w:p>
        </w:tc>
      </w:tr>
      <w:tr w:rsidR="00D73879" w:rsidRPr="00794A7C" w14:paraId="79FF306D" w14:textId="77777777" w:rsidTr="0084146F">
        <w:tc>
          <w:tcPr>
            <w:tcW w:w="9350" w:type="dxa"/>
          </w:tcPr>
          <w:p w14:paraId="7FF44751" w14:textId="77777777" w:rsidR="00D73879" w:rsidRPr="00794A7C" w:rsidRDefault="00D73879" w:rsidP="0084146F">
            <w:pPr>
              <w:pStyle w:val="smallbullet"/>
              <w:spacing w:after="80"/>
            </w:pPr>
            <w:r>
              <w:t>a</w:t>
            </w:r>
            <w:r w:rsidRPr="00794A7C">
              <w:t>dvising on legal duties and governing practice</w:t>
            </w:r>
          </w:p>
          <w:p w14:paraId="5960DA06" w14:textId="77777777" w:rsidR="00D73879" w:rsidRPr="00794A7C" w:rsidRDefault="00D73879" w:rsidP="0084146F">
            <w:pPr>
              <w:pStyle w:val="smallbullet"/>
              <w:spacing w:after="80"/>
            </w:pPr>
            <w:r>
              <w:t>a</w:t>
            </w:r>
            <w:r w:rsidRPr="00794A7C">
              <w:t xml:space="preserve">dvising on constitutional requirements </w:t>
            </w:r>
          </w:p>
          <w:p w14:paraId="7398EBB9" w14:textId="77777777" w:rsidR="00D73879" w:rsidRPr="00794A7C" w:rsidRDefault="00D73879" w:rsidP="0084146F">
            <w:pPr>
              <w:pStyle w:val="smallbullet"/>
              <w:spacing w:after="80"/>
            </w:pPr>
            <w:r>
              <w:t>a</w:t>
            </w:r>
            <w:r w:rsidRPr="00794A7C">
              <w:t>dvising on board procedures</w:t>
            </w:r>
          </w:p>
          <w:p w14:paraId="4C98065A" w14:textId="77777777" w:rsidR="00D73879" w:rsidRDefault="00D73879" w:rsidP="0084146F">
            <w:pPr>
              <w:pStyle w:val="smallbullet"/>
              <w:spacing w:after="80"/>
            </w:pPr>
            <w:r>
              <w:t>a</w:t>
            </w:r>
            <w:r w:rsidRPr="00794A7C">
              <w:t xml:space="preserve">dvising on statutory guidance and policies </w:t>
            </w:r>
          </w:p>
          <w:p w14:paraId="7F388521" w14:textId="77777777" w:rsidR="00D73879" w:rsidRPr="00794A7C" w:rsidRDefault="00D73879" w:rsidP="0084146F">
            <w:pPr>
              <w:pStyle w:val="smallbullet"/>
              <w:spacing w:after="80"/>
            </w:pPr>
            <w:r>
              <w:t>a</w:t>
            </w:r>
            <w:r w:rsidRPr="00794A7C">
              <w:t xml:space="preserve">dvising on annual tasks and decisions </w:t>
            </w:r>
          </w:p>
          <w:p w14:paraId="36584C68" w14:textId="77777777" w:rsidR="00D73879" w:rsidRPr="00794A7C" w:rsidRDefault="00D73879" w:rsidP="0084146F">
            <w:pPr>
              <w:pStyle w:val="smallbullet"/>
              <w:spacing w:after="80"/>
            </w:pPr>
            <w:r>
              <w:t>a</w:t>
            </w:r>
            <w:r w:rsidRPr="00794A7C">
              <w:t>dvising on governor/trustee CPD</w:t>
            </w:r>
          </w:p>
          <w:p w14:paraId="747810B6" w14:textId="77777777" w:rsidR="00D73879" w:rsidRPr="00794A7C" w:rsidRDefault="00D73879" w:rsidP="0084146F">
            <w:pPr>
              <w:pStyle w:val="smallbullet"/>
              <w:spacing w:after="80"/>
            </w:pPr>
            <w:r>
              <w:t>a</w:t>
            </w:r>
            <w:r w:rsidRPr="00794A7C">
              <w:t>ccessing external advice as appropriate</w:t>
            </w:r>
          </w:p>
          <w:p w14:paraId="3D261BA4" w14:textId="77777777" w:rsidR="00D73879" w:rsidRPr="00794A7C" w:rsidRDefault="00D73879" w:rsidP="0084146F">
            <w:pPr>
              <w:pStyle w:val="smallbullet"/>
              <w:spacing w:after="80"/>
            </w:pPr>
            <w:r>
              <w:t>s</w:t>
            </w:r>
            <w:r w:rsidRPr="00794A7C">
              <w:t>upporting issue resolution</w:t>
            </w:r>
          </w:p>
        </w:tc>
      </w:tr>
      <w:tr w:rsidR="00D73879" w:rsidRPr="00794A7C" w14:paraId="4DA8CD87" w14:textId="77777777" w:rsidTr="0084146F">
        <w:tc>
          <w:tcPr>
            <w:tcW w:w="9350" w:type="dxa"/>
          </w:tcPr>
          <w:p w14:paraId="4DF1BB3C" w14:textId="77777777" w:rsidR="00D73879" w:rsidRPr="00794A7C" w:rsidRDefault="00D73879" w:rsidP="00D73879">
            <w:pPr>
              <w:pStyle w:val="Heading4"/>
              <w:numPr>
                <w:ilvl w:val="0"/>
                <w:numId w:val="4"/>
              </w:numPr>
              <w:spacing w:before="0"/>
              <w:ind w:left="307" w:hanging="284"/>
              <w:rPr>
                <w:rFonts w:cstheme="minorHAnsi"/>
                <w:sz w:val="22"/>
                <w:szCs w:val="20"/>
              </w:rPr>
            </w:pPr>
            <w:r w:rsidRPr="004414D7">
              <w:rPr>
                <w:rFonts w:cstheme="minorHAnsi"/>
                <w:sz w:val="22"/>
                <w:szCs w:val="20"/>
              </w:rPr>
              <w:t>Administration</w:t>
            </w:r>
            <w:r w:rsidRPr="001F3023">
              <w:rPr>
                <w:rFonts w:cstheme="minorHAnsi"/>
              </w:rPr>
              <w:t xml:space="preserve"> and record keeping</w:t>
            </w:r>
          </w:p>
        </w:tc>
      </w:tr>
      <w:tr w:rsidR="00D73879" w:rsidRPr="00794A7C" w14:paraId="3436EAB4" w14:textId="77777777" w:rsidTr="0084146F">
        <w:tc>
          <w:tcPr>
            <w:tcW w:w="9350" w:type="dxa"/>
          </w:tcPr>
          <w:p w14:paraId="5FE1A0FD" w14:textId="77777777" w:rsidR="00D73879" w:rsidRPr="00794A7C" w:rsidRDefault="00D73879" w:rsidP="0084146F">
            <w:pPr>
              <w:pStyle w:val="smallbullet"/>
              <w:spacing w:after="80"/>
            </w:pPr>
            <w:r>
              <w:t>m</w:t>
            </w:r>
            <w:r w:rsidRPr="00794A7C">
              <w:t>aintaining membership records</w:t>
            </w:r>
          </w:p>
          <w:p w14:paraId="6DE9E7CB" w14:textId="77777777" w:rsidR="00D73879" w:rsidRPr="00794A7C" w:rsidRDefault="00D73879" w:rsidP="0084146F">
            <w:pPr>
              <w:pStyle w:val="smallbullet"/>
              <w:spacing w:after="80"/>
            </w:pPr>
            <w:r>
              <w:t>m</w:t>
            </w:r>
            <w:r w:rsidRPr="00794A7C">
              <w:t>aintaining governing documents such as terms of reference and signed minutes</w:t>
            </w:r>
          </w:p>
          <w:p w14:paraId="416E4770" w14:textId="77777777" w:rsidR="00D73879" w:rsidRPr="00794A7C" w:rsidRDefault="00D73879" w:rsidP="0084146F">
            <w:pPr>
              <w:pStyle w:val="smallbullet"/>
              <w:spacing w:after="80"/>
            </w:pPr>
            <w:r>
              <w:t>m</w:t>
            </w:r>
            <w:r w:rsidRPr="00794A7C">
              <w:t>aintaining a record of board CPD</w:t>
            </w:r>
          </w:p>
          <w:p w14:paraId="3EB774B8" w14:textId="77777777" w:rsidR="00D73879" w:rsidRPr="00794A7C" w:rsidRDefault="00D73879" w:rsidP="0084146F">
            <w:pPr>
              <w:pStyle w:val="smallbullet"/>
              <w:spacing w:after="80"/>
            </w:pPr>
            <w:r>
              <w:t>m</w:t>
            </w:r>
            <w:r w:rsidRPr="00794A7C">
              <w:t>aintaining records of board correspondence</w:t>
            </w:r>
          </w:p>
          <w:p w14:paraId="1F05994D" w14:textId="77777777" w:rsidR="00D73879" w:rsidRPr="00794A7C" w:rsidRDefault="00D73879" w:rsidP="0084146F">
            <w:pPr>
              <w:pStyle w:val="smallbullet"/>
              <w:spacing w:after="80"/>
            </w:pPr>
            <w:r>
              <w:t>m</w:t>
            </w:r>
            <w:r w:rsidRPr="00794A7C">
              <w:t xml:space="preserve">aintaining governance communication portal </w:t>
            </w:r>
          </w:p>
          <w:p w14:paraId="34D6EC60" w14:textId="77777777" w:rsidR="00D73879" w:rsidRPr="00794A7C" w:rsidRDefault="00D73879" w:rsidP="0084146F">
            <w:pPr>
              <w:pStyle w:val="smallbullet"/>
              <w:spacing w:after="80"/>
            </w:pPr>
            <w:r>
              <w:t>d</w:t>
            </w:r>
            <w:r w:rsidRPr="00794A7C">
              <w:t>rafting correspondence on behalf of the board</w:t>
            </w:r>
          </w:p>
        </w:tc>
      </w:tr>
      <w:tr w:rsidR="00D73879" w:rsidRPr="00794A7C" w14:paraId="00B69602" w14:textId="77777777" w:rsidTr="0084146F">
        <w:trPr>
          <w:trHeight w:val="50"/>
        </w:trPr>
        <w:tc>
          <w:tcPr>
            <w:tcW w:w="9350" w:type="dxa"/>
          </w:tcPr>
          <w:p w14:paraId="39D6CE56" w14:textId="77777777" w:rsidR="00D73879" w:rsidRPr="004414D7" w:rsidRDefault="00D73879" w:rsidP="00D73879">
            <w:pPr>
              <w:pStyle w:val="Heading4"/>
              <w:numPr>
                <w:ilvl w:val="0"/>
                <w:numId w:val="4"/>
              </w:numPr>
              <w:spacing w:before="0"/>
              <w:ind w:left="366" w:hanging="366"/>
              <w:rPr>
                <w:rFonts w:cstheme="minorHAnsi"/>
                <w:sz w:val="22"/>
                <w:szCs w:val="20"/>
              </w:rPr>
            </w:pPr>
            <w:r w:rsidRPr="004414D7">
              <w:rPr>
                <w:rFonts w:cstheme="minorHAnsi"/>
                <w:sz w:val="22"/>
              </w:rPr>
              <w:t>Maintaining relationships and communication</w:t>
            </w:r>
          </w:p>
        </w:tc>
      </w:tr>
      <w:tr w:rsidR="00D73879" w:rsidRPr="00794A7C" w14:paraId="13EB5152" w14:textId="77777777" w:rsidTr="0084146F">
        <w:trPr>
          <w:trHeight w:val="50"/>
        </w:trPr>
        <w:tc>
          <w:tcPr>
            <w:tcW w:w="9350" w:type="dxa"/>
          </w:tcPr>
          <w:p w14:paraId="77A57941" w14:textId="77777777" w:rsidR="00D73879" w:rsidRPr="00794A7C" w:rsidRDefault="00D73879" w:rsidP="0084146F">
            <w:pPr>
              <w:pStyle w:val="smallbullet"/>
              <w:spacing w:after="80"/>
            </w:pPr>
            <w:r>
              <w:t>m</w:t>
            </w:r>
            <w:r w:rsidRPr="00794A7C">
              <w:t xml:space="preserve">aintaining professional working relationships with the chair, the board and school leaders </w:t>
            </w:r>
          </w:p>
          <w:p w14:paraId="2229AB1A" w14:textId="77777777" w:rsidR="00D73879" w:rsidRPr="00794A7C" w:rsidRDefault="00D73879" w:rsidP="0084146F">
            <w:pPr>
              <w:pStyle w:val="smallbullet"/>
              <w:spacing w:after="80"/>
            </w:pPr>
            <w:r>
              <w:t>c</w:t>
            </w:r>
            <w:r w:rsidRPr="00794A7C">
              <w:t>ommunicating on board matters outside of meetings</w:t>
            </w:r>
          </w:p>
          <w:p w14:paraId="3395C675" w14:textId="77777777" w:rsidR="00D73879" w:rsidRPr="004414D7" w:rsidRDefault="00D73879" w:rsidP="0084146F">
            <w:pPr>
              <w:pStyle w:val="smallbullet"/>
              <w:spacing w:after="80"/>
              <w:rPr>
                <w:rFonts w:cstheme="minorHAnsi"/>
                <w:szCs w:val="20"/>
              </w:rPr>
            </w:pPr>
            <w:r>
              <w:t>w</w:t>
            </w:r>
            <w:r w:rsidRPr="00794A7C">
              <w:t xml:space="preserve">here appropriate, liaising on behalf of the board </w:t>
            </w:r>
            <w:r>
              <w:t xml:space="preserve">(such as for </w:t>
            </w:r>
            <w:r w:rsidRPr="00794A7C">
              <w:t>external reviews of governance</w:t>
            </w:r>
            <w:r>
              <w:t>)</w:t>
            </w:r>
          </w:p>
        </w:tc>
      </w:tr>
      <w:tr w:rsidR="00D73879" w:rsidRPr="00794A7C" w14:paraId="7722FA8B" w14:textId="77777777" w:rsidTr="0084146F">
        <w:trPr>
          <w:trHeight w:val="50"/>
        </w:trPr>
        <w:tc>
          <w:tcPr>
            <w:tcW w:w="9350" w:type="dxa"/>
          </w:tcPr>
          <w:p w14:paraId="459B6FF6" w14:textId="77777777" w:rsidR="00D73879" w:rsidRPr="00794A7C" w:rsidRDefault="00D73879" w:rsidP="00D73879">
            <w:pPr>
              <w:pStyle w:val="Heading4"/>
              <w:numPr>
                <w:ilvl w:val="0"/>
                <w:numId w:val="4"/>
              </w:numPr>
              <w:spacing w:before="0"/>
              <w:ind w:left="307" w:hanging="284"/>
              <w:rPr>
                <w:sz w:val="22"/>
                <w:szCs w:val="20"/>
              </w:rPr>
            </w:pPr>
            <w:r w:rsidRPr="004414D7">
              <w:rPr>
                <w:rFonts w:cstheme="minorHAnsi"/>
                <w:sz w:val="22"/>
                <w:szCs w:val="20"/>
              </w:rPr>
              <w:t>Ensuring compliance</w:t>
            </w:r>
          </w:p>
        </w:tc>
      </w:tr>
      <w:tr w:rsidR="00D73879" w:rsidRPr="00794A7C" w14:paraId="069C053E" w14:textId="77777777" w:rsidTr="0084146F">
        <w:tc>
          <w:tcPr>
            <w:tcW w:w="9350" w:type="dxa"/>
          </w:tcPr>
          <w:p w14:paraId="13F29FF5" w14:textId="77777777" w:rsidR="00D73879" w:rsidRPr="00794A7C" w:rsidRDefault="00D73879" w:rsidP="0084146F">
            <w:pPr>
              <w:pStyle w:val="smallbullet"/>
              <w:spacing w:before="0" w:after="60"/>
            </w:pPr>
            <w:r>
              <w:t>e</w:t>
            </w:r>
            <w:r w:rsidRPr="00794A7C">
              <w:t>nsuring meetings are quorate</w:t>
            </w:r>
          </w:p>
          <w:p w14:paraId="5DEF3E69" w14:textId="77777777" w:rsidR="00D73879" w:rsidRPr="00794A7C" w:rsidRDefault="00D73879" w:rsidP="0084146F">
            <w:pPr>
              <w:pStyle w:val="smallbullet"/>
              <w:spacing w:before="0" w:after="60"/>
            </w:pPr>
            <w:r>
              <w:t>o</w:t>
            </w:r>
            <w:r w:rsidRPr="00794A7C">
              <w:t>verseeing the review of required policies</w:t>
            </w:r>
          </w:p>
          <w:p w14:paraId="3E3A3C21" w14:textId="77777777" w:rsidR="00D73879" w:rsidRPr="00794A7C" w:rsidRDefault="00D73879" w:rsidP="0084146F">
            <w:pPr>
              <w:pStyle w:val="smallbullet"/>
              <w:spacing w:before="0" w:after="60"/>
            </w:pPr>
            <w:r>
              <w:t>p</w:t>
            </w:r>
            <w:r w:rsidRPr="00794A7C">
              <w:t>ublication of governance information on school websites</w:t>
            </w:r>
          </w:p>
          <w:p w14:paraId="5B218CBD" w14:textId="77777777" w:rsidR="00D73879" w:rsidRPr="00794A7C" w:rsidRDefault="00D73879" w:rsidP="0084146F">
            <w:pPr>
              <w:pStyle w:val="smallbullet"/>
              <w:spacing w:before="0" w:after="60"/>
            </w:pPr>
            <w:r>
              <w:t>a</w:t>
            </w:r>
            <w:r w:rsidRPr="00794A7C">
              <w:t>dvising on data protection requirements</w:t>
            </w:r>
          </w:p>
          <w:p w14:paraId="312104D4" w14:textId="77777777" w:rsidR="00D73879" w:rsidRPr="00794A7C" w:rsidRDefault="00D73879" w:rsidP="0084146F">
            <w:pPr>
              <w:pStyle w:val="smallbullet"/>
              <w:spacing w:before="0" w:after="60"/>
            </w:pPr>
            <w:r>
              <w:t>o</w:t>
            </w:r>
            <w:r w:rsidRPr="00794A7C">
              <w:t xml:space="preserve">verseeing board recruitment processes </w:t>
            </w:r>
          </w:p>
          <w:p w14:paraId="5AC30E82" w14:textId="75CA38EA" w:rsidR="00D73879" w:rsidRPr="00794A7C" w:rsidRDefault="00D73879" w:rsidP="0084146F">
            <w:pPr>
              <w:pStyle w:val="smallbullet"/>
              <w:spacing w:before="0" w:after="60"/>
            </w:pPr>
            <w:r>
              <w:t>c</w:t>
            </w:r>
            <w:r w:rsidRPr="00794A7C">
              <w:t xml:space="preserve">o-ordinating safeguarding checks </w:t>
            </w:r>
            <w:r w:rsidR="008B0BF7">
              <w:t>and DBS certificates for board members</w:t>
            </w:r>
          </w:p>
          <w:p w14:paraId="081074BC" w14:textId="77777777" w:rsidR="00D73879" w:rsidRDefault="00D73879" w:rsidP="0084146F">
            <w:pPr>
              <w:pStyle w:val="smallbullet"/>
              <w:spacing w:before="0" w:after="60"/>
            </w:pPr>
            <w:r>
              <w:lastRenderedPageBreak/>
              <w:t>m</w:t>
            </w:r>
            <w:r w:rsidRPr="00794A7C">
              <w:t>onitoring eligibility of board members to serve including on committees</w:t>
            </w:r>
          </w:p>
          <w:p w14:paraId="7A5B0C29" w14:textId="77777777" w:rsidR="00D73879" w:rsidRDefault="00D73879" w:rsidP="0084146F">
            <w:pPr>
              <w:pStyle w:val="smallbullet"/>
              <w:spacing w:before="0" w:after="60"/>
            </w:pPr>
            <w:r>
              <w:t>n</w:t>
            </w:r>
            <w:r w:rsidRPr="00794A7C">
              <w:t>otifying disqualifications, expiry of office etc</w:t>
            </w:r>
          </w:p>
          <w:p w14:paraId="11EE861F" w14:textId="77777777" w:rsidR="00D73879" w:rsidRPr="00E64DA4" w:rsidRDefault="00D73879" w:rsidP="0084146F">
            <w:pPr>
              <w:pStyle w:val="smallbullet"/>
              <w:spacing w:before="0" w:after="60"/>
            </w:pPr>
            <w:r>
              <w:t>s</w:t>
            </w:r>
            <w:r w:rsidRPr="00E64DA4">
              <w:t>tatutory registers and filing returns</w:t>
            </w:r>
          </w:p>
        </w:tc>
      </w:tr>
    </w:tbl>
    <w:p w14:paraId="4857BF8F" w14:textId="77777777" w:rsidR="00CC5A20" w:rsidRDefault="00CC5A20" w:rsidP="00D73879">
      <w:pPr>
        <w:pStyle w:val="Heading3"/>
        <w:spacing w:before="120"/>
      </w:pPr>
    </w:p>
    <w:p w14:paraId="044DC13D" w14:textId="467D19E8" w:rsidR="00D73879" w:rsidRPr="00D73879" w:rsidRDefault="00D73879" w:rsidP="00D73879">
      <w:pPr>
        <w:pStyle w:val="Heading3"/>
        <w:spacing w:before="120"/>
      </w:pPr>
      <w: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3879" w14:paraId="7A39C3D8" w14:textId="77777777" w:rsidTr="0084146F">
        <w:tc>
          <w:tcPr>
            <w:tcW w:w="9350" w:type="dxa"/>
          </w:tcPr>
          <w:p w14:paraId="35FB069F" w14:textId="77777777" w:rsidR="00D73879" w:rsidRPr="00794A7C" w:rsidRDefault="00D73879" w:rsidP="0084146F">
            <w:pPr>
              <w:pStyle w:val="Heading4"/>
              <w:spacing w:before="0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Knowledge</w:t>
            </w:r>
          </w:p>
        </w:tc>
      </w:tr>
      <w:tr w:rsidR="00D73879" w14:paraId="3B88D170" w14:textId="77777777" w:rsidTr="0084146F">
        <w:tc>
          <w:tcPr>
            <w:tcW w:w="9350" w:type="dxa"/>
          </w:tcPr>
          <w:p w14:paraId="151B3D9E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t</w:t>
            </w:r>
            <w:r w:rsidRPr="008B1472">
              <w:t xml:space="preserve">he </w:t>
            </w:r>
            <w:proofErr w:type="gramStart"/>
            <w:r w:rsidRPr="008B1472">
              <w:t>schools</w:t>
            </w:r>
            <w:proofErr w:type="gramEnd"/>
            <w:r w:rsidRPr="008B1472">
              <w:t xml:space="preserve"> system: structures, accountability and funding</w:t>
            </w:r>
          </w:p>
          <w:p w14:paraId="51178B86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g</w:t>
            </w:r>
            <w:r w:rsidRPr="008B1472">
              <w:t>overnance legislation, procedures and regulations relevant to the organisation</w:t>
            </w:r>
          </w:p>
          <w:p w14:paraId="0F506534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t</w:t>
            </w:r>
            <w:r w:rsidRPr="008B1472">
              <w:t>he core functions of a school governing board as they apply to the organisation</w:t>
            </w:r>
          </w:p>
          <w:p w14:paraId="1A474759" w14:textId="77777777" w:rsidR="00D73879" w:rsidRDefault="00D73879" w:rsidP="0084146F">
            <w:pPr>
              <w:pStyle w:val="smallbullet"/>
              <w:spacing w:before="0" w:after="60"/>
            </w:pPr>
            <w:r>
              <w:t>e</w:t>
            </w:r>
            <w:r w:rsidRPr="008B1472">
              <w:t>lements of effective governance and board practice as they apply to the organisation </w:t>
            </w:r>
          </w:p>
        </w:tc>
      </w:tr>
      <w:tr w:rsidR="00D73879" w14:paraId="0870D953" w14:textId="77777777" w:rsidTr="0084146F">
        <w:tc>
          <w:tcPr>
            <w:tcW w:w="9350" w:type="dxa"/>
          </w:tcPr>
          <w:p w14:paraId="0AD780B2" w14:textId="77777777" w:rsidR="00D73879" w:rsidRPr="00D17E28" w:rsidRDefault="00D73879" w:rsidP="0084146F">
            <w:pPr>
              <w:pStyle w:val="Heading4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8B1472">
              <w:rPr>
                <w:rFonts w:cstheme="minorHAnsi"/>
                <w:sz w:val="22"/>
                <w:szCs w:val="20"/>
              </w:rPr>
              <w:t>Skills</w:t>
            </w:r>
          </w:p>
        </w:tc>
      </w:tr>
      <w:tr w:rsidR="00D73879" w14:paraId="00BCA1B5" w14:textId="77777777" w:rsidTr="0084146F">
        <w:tc>
          <w:tcPr>
            <w:tcW w:w="9350" w:type="dxa"/>
          </w:tcPr>
          <w:p w14:paraId="6C4E0284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l</w:t>
            </w:r>
            <w:r w:rsidRPr="008B1472">
              <w:t>iteracy, numeracy and IT</w:t>
            </w:r>
          </w:p>
          <w:p w14:paraId="07C37918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w</w:t>
            </w:r>
            <w:r w:rsidRPr="008B1472">
              <w:t>ritten and verbal communication</w:t>
            </w:r>
          </w:p>
          <w:p w14:paraId="71093A00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m</w:t>
            </w:r>
            <w:r w:rsidRPr="008B1472">
              <w:t>inute taking</w:t>
            </w:r>
          </w:p>
          <w:p w14:paraId="0A02F941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p</w:t>
            </w:r>
            <w:r w:rsidRPr="008B1472">
              <w:t>lanning and organisational</w:t>
            </w:r>
          </w:p>
          <w:p w14:paraId="2F20F1C7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p</w:t>
            </w:r>
            <w:r w:rsidRPr="008B1472">
              <w:t>eople and relationship building</w:t>
            </w:r>
          </w:p>
          <w:p w14:paraId="1DE83DDB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a</w:t>
            </w:r>
            <w:r w:rsidRPr="008B1472">
              <w:t>dvisory skills - recommending a course of action </w:t>
            </w:r>
          </w:p>
          <w:p w14:paraId="7199B6E0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r</w:t>
            </w:r>
            <w:r w:rsidRPr="008B1472">
              <w:t>isk aware/</w:t>
            </w:r>
            <w:r>
              <w:t>able to</w:t>
            </w:r>
            <w:r w:rsidRPr="008B1472">
              <w:t xml:space="preserve"> articulate risk in the context</w:t>
            </w:r>
          </w:p>
          <w:p w14:paraId="310991AF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p</w:t>
            </w:r>
            <w:r w:rsidRPr="008B1472">
              <w:t>roblem solving</w:t>
            </w:r>
          </w:p>
          <w:p w14:paraId="5726A60A" w14:textId="77777777" w:rsidR="00D73879" w:rsidRDefault="00D73879" w:rsidP="0084146F">
            <w:pPr>
              <w:pStyle w:val="smallbullet"/>
              <w:spacing w:before="0" w:after="60"/>
            </w:pPr>
            <w:r>
              <w:t>t</w:t>
            </w:r>
            <w:r w:rsidRPr="008B1472">
              <w:t>ime management to meet deadlines and competing demands</w:t>
            </w:r>
          </w:p>
        </w:tc>
      </w:tr>
      <w:tr w:rsidR="00D73879" w14:paraId="56B1864C" w14:textId="77777777" w:rsidTr="0084146F">
        <w:tc>
          <w:tcPr>
            <w:tcW w:w="9350" w:type="dxa"/>
          </w:tcPr>
          <w:p w14:paraId="5F944896" w14:textId="77777777" w:rsidR="00D73879" w:rsidRPr="008B1472" w:rsidRDefault="00D73879" w:rsidP="0084146F">
            <w:pPr>
              <w:pStyle w:val="Heading4"/>
              <w:spacing w:before="0"/>
              <w:rPr>
                <w:rFonts w:cstheme="minorHAnsi"/>
                <w:sz w:val="22"/>
                <w:szCs w:val="20"/>
              </w:rPr>
            </w:pPr>
            <w:r w:rsidRPr="008B1472">
              <w:rPr>
                <w:rFonts w:cstheme="minorHAnsi"/>
                <w:sz w:val="22"/>
                <w:szCs w:val="20"/>
              </w:rPr>
              <w:t>A</w:t>
            </w:r>
            <w:r>
              <w:rPr>
                <w:rFonts w:cstheme="minorHAnsi"/>
                <w:sz w:val="22"/>
                <w:szCs w:val="20"/>
              </w:rPr>
              <w:t>ttributes</w:t>
            </w:r>
          </w:p>
        </w:tc>
      </w:tr>
      <w:tr w:rsidR="00D73879" w14:paraId="0F485F9A" w14:textId="77777777" w:rsidTr="0084146F">
        <w:tc>
          <w:tcPr>
            <w:tcW w:w="9350" w:type="dxa"/>
          </w:tcPr>
          <w:p w14:paraId="7379F4D0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p</w:t>
            </w:r>
            <w:r w:rsidRPr="008B1472">
              <w:t>ersonal integrity and commitment to </w:t>
            </w:r>
            <w:hyperlink r:id="rId6" w:history="1">
              <w:r w:rsidRPr="00CC5A20">
                <w:t>the principles of public life</w:t>
              </w:r>
            </w:hyperlink>
          </w:p>
          <w:p w14:paraId="28B1BC49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r</w:t>
            </w:r>
            <w:r w:rsidRPr="008B1472">
              <w:t>espect</w:t>
            </w:r>
            <w:r>
              <w:t xml:space="preserve"> for</w:t>
            </w:r>
            <w:r w:rsidRPr="008B1472">
              <w:t xml:space="preserve"> confidentiality</w:t>
            </w:r>
          </w:p>
          <w:p w14:paraId="45910593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c</w:t>
            </w:r>
            <w:r w:rsidRPr="008B1472">
              <w:t>onfidence and resilience (to challenge when necessary)</w:t>
            </w:r>
          </w:p>
          <w:p w14:paraId="678FB610" w14:textId="77777777" w:rsidR="00D73879" w:rsidRPr="008B1472" w:rsidRDefault="00D73879" w:rsidP="0084146F">
            <w:pPr>
              <w:pStyle w:val="smallbullet"/>
              <w:spacing w:before="0" w:after="60"/>
            </w:pPr>
            <w:r>
              <w:t>c</w:t>
            </w:r>
            <w:r w:rsidRPr="008B1472">
              <w:t xml:space="preserve">ommitment to </w:t>
            </w:r>
            <w:r>
              <w:t>professional development</w:t>
            </w:r>
          </w:p>
        </w:tc>
      </w:tr>
    </w:tbl>
    <w:p w14:paraId="66885DFA" w14:textId="77777777" w:rsidR="00D73879" w:rsidRDefault="00D73879" w:rsidP="00D73879"/>
    <w:p w14:paraId="176D4590" w14:textId="77777777" w:rsidR="00D73879" w:rsidRDefault="00D73879">
      <w:pPr>
        <w:pStyle w:val="BodyText"/>
        <w:ind w:left="1804" w:right="2644"/>
        <w:jc w:val="center"/>
      </w:pPr>
    </w:p>
    <w:sectPr w:rsidR="00D73879">
      <w:type w:val="continuous"/>
      <w:pgSz w:w="11910" w:h="16840"/>
      <w:pgMar w:top="1280" w:right="2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2463"/>
    <w:multiLevelType w:val="hybridMultilevel"/>
    <w:tmpl w:val="2094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14B62"/>
    <w:multiLevelType w:val="hybridMultilevel"/>
    <w:tmpl w:val="778CA8AE"/>
    <w:lvl w:ilvl="0" w:tplc="AAF29EA8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365F91" w:themeColor="accent1" w:themeShade="BF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A4DB2"/>
    <w:multiLevelType w:val="hybridMultilevel"/>
    <w:tmpl w:val="BB46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7375">
    <w:abstractNumId w:val="4"/>
  </w:num>
  <w:num w:numId="2" w16cid:durableId="215164544">
    <w:abstractNumId w:val="1"/>
  </w:num>
  <w:num w:numId="3" w16cid:durableId="316879992">
    <w:abstractNumId w:val="0"/>
  </w:num>
  <w:num w:numId="4" w16cid:durableId="815530872">
    <w:abstractNumId w:val="2"/>
  </w:num>
  <w:num w:numId="5" w16cid:durableId="874657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20"/>
    <w:rsid w:val="0000733E"/>
    <w:rsid w:val="001521F5"/>
    <w:rsid w:val="0028651E"/>
    <w:rsid w:val="00295CBA"/>
    <w:rsid w:val="002E3CEA"/>
    <w:rsid w:val="003859AB"/>
    <w:rsid w:val="003C0373"/>
    <w:rsid w:val="00457B87"/>
    <w:rsid w:val="00545067"/>
    <w:rsid w:val="005F0924"/>
    <w:rsid w:val="00691DD8"/>
    <w:rsid w:val="006A797C"/>
    <w:rsid w:val="00716EB3"/>
    <w:rsid w:val="007A2198"/>
    <w:rsid w:val="007F58A7"/>
    <w:rsid w:val="00805FE4"/>
    <w:rsid w:val="00822A3B"/>
    <w:rsid w:val="0086000E"/>
    <w:rsid w:val="00873A3A"/>
    <w:rsid w:val="008B0BF7"/>
    <w:rsid w:val="009B4CAF"/>
    <w:rsid w:val="009F37FB"/>
    <w:rsid w:val="00A02354"/>
    <w:rsid w:val="00A75E84"/>
    <w:rsid w:val="00B56020"/>
    <w:rsid w:val="00C023A5"/>
    <w:rsid w:val="00CB03FA"/>
    <w:rsid w:val="00CC5A20"/>
    <w:rsid w:val="00CC7F97"/>
    <w:rsid w:val="00CD2A14"/>
    <w:rsid w:val="00D73879"/>
    <w:rsid w:val="00E432A1"/>
    <w:rsid w:val="00EE4A87"/>
    <w:rsid w:val="00EF3EDE"/>
    <w:rsid w:val="00F52083"/>
    <w:rsid w:val="00F7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0091"/>
  <w15:docId w15:val="{A762D240-E63D-471E-A56D-2C84ED5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879"/>
    <w:pPr>
      <w:keepNext/>
      <w:keepLines/>
      <w:widowControl/>
      <w:autoSpaceDE/>
      <w:autoSpaceDN/>
      <w:spacing w:before="40"/>
      <w:outlineLvl w:val="1"/>
    </w:pPr>
    <w:rPr>
      <w:rFonts w:ascii="Calibri" w:eastAsiaTheme="majorEastAsia" w:hAnsi="Calibri" w:cstheme="majorBidi"/>
      <w:b/>
      <w:color w:val="05407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879"/>
    <w:pPr>
      <w:keepNext/>
      <w:keepLines/>
      <w:widowControl/>
      <w:autoSpaceDE/>
      <w:autoSpaceDN/>
      <w:spacing w:before="40"/>
      <w:outlineLvl w:val="2"/>
    </w:pPr>
    <w:rPr>
      <w:rFonts w:ascii="Calibri" w:eastAsiaTheme="majorEastAsia" w:hAnsi="Calibri" w:cstheme="majorBidi"/>
      <w:b/>
      <w:color w:val="05407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879"/>
    <w:pPr>
      <w:keepNext/>
      <w:keepLines/>
      <w:widowControl/>
      <w:autoSpaceDE/>
      <w:autoSpaceDN/>
      <w:spacing w:before="40"/>
      <w:outlineLvl w:val="3"/>
    </w:pPr>
    <w:rPr>
      <w:rFonts w:ascii="Calibri" w:eastAsiaTheme="majorEastAsia" w:hAnsi="Calibri" w:cstheme="majorBidi"/>
      <w:b/>
      <w:iCs/>
      <w:color w:val="05407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D73879"/>
    <w:rPr>
      <w:rFonts w:ascii="Calibri" w:eastAsiaTheme="majorEastAsia" w:hAnsi="Calibri" w:cstheme="majorBidi"/>
      <w:b/>
      <w:color w:val="05407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879"/>
    <w:rPr>
      <w:rFonts w:ascii="Calibri" w:eastAsiaTheme="majorEastAsia" w:hAnsi="Calibri" w:cstheme="majorBidi"/>
      <w:b/>
      <w:color w:val="0540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3879"/>
    <w:rPr>
      <w:rFonts w:ascii="Calibri" w:eastAsiaTheme="majorEastAsia" w:hAnsi="Calibri" w:cstheme="majorBidi"/>
      <w:b/>
      <w:iCs/>
      <w:color w:val="054078"/>
      <w:sz w:val="24"/>
    </w:rPr>
  </w:style>
  <w:style w:type="character" w:styleId="Hyperlink">
    <w:name w:val="Hyperlink"/>
    <w:basedOn w:val="DefaultParagraphFont"/>
    <w:uiPriority w:val="99"/>
    <w:unhideWhenUsed/>
    <w:rsid w:val="00D73879"/>
    <w:rPr>
      <w:color w:val="0563C1"/>
      <w:u w:val="single"/>
    </w:rPr>
  </w:style>
  <w:style w:type="paragraph" w:customStyle="1" w:styleId="Bullettext">
    <w:name w:val="Bullet text"/>
    <w:basedOn w:val="Normal"/>
    <w:next w:val="Normal"/>
    <w:link w:val="BullettextChar"/>
    <w:qFormat/>
    <w:rsid w:val="00D73879"/>
    <w:pPr>
      <w:widowControl/>
      <w:numPr>
        <w:numId w:val="3"/>
      </w:numPr>
      <w:autoSpaceDE/>
      <w:autoSpaceDN/>
      <w:spacing w:before="120" w:after="120"/>
    </w:pPr>
    <w:rPr>
      <w:rFonts w:ascii="Calibri" w:eastAsiaTheme="minorEastAsia" w:hAnsi="Calibri"/>
      <w:color w:val="000000" w:themeColor="text1"/>
      <w:sz w:val="24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D73879"/>
    <w:pPr>
      <w:widowControl/>
      <w:autoSpaceDE/>
      <w:autoSpaceDN/>
      <w:spacing w:after="160"/>
    </w:pPr>
    <w:rPr>
      <w:rFonts w:ascii="Calibri" w:eastAsiaTheme="minorEastAsia" w:hAnsi="Calibri"/>
      <w:color w:val="000000" w:themeColor="text1"/>
      <w:sz w:val="24"/>
      <w:szCs w:val="20"/>
      <w:lang w:val="en-GB"/>
    </w:rPr>
  </w:style>
  <w:style w:type="character" w:customStyle="1" w:styleId="MainTextChar">
    <w:name w:val="Main Text Char"/>
    <w:basedOn w:val="DefaultParagraphFont"/>
    <w:link w:val="MainText"/>
    <w:rsid w:val="00D73879"/>
    <w:rPr>
      <w:rFonts w:ascii="Calibri" w:eastAsiaTheme="minorEastAsia" w:hAnsi="Calibri" w:cs="Arial"/>
      <w:color w:val="000000" w:themeColor="text1"/>
      <w:sz w:val="24"/>
      <w:szCs w:val="20"/>
      <w:lang w:val="en-GB"/>
    </w:rPr>
  </w:style>
  <w:style w:type="paragraph" w:customStyle="1" w:styleId="Boldemphasis">
    <w:name w:val="Bold emphasis"/>
    <w:basedOn w:val="MainText"/>
    <w:link w:val="BoldemphasisChar"/>
    <w:qFormat/>
    <w:rsid w:val="00D73879"/>
  </w:style>
  <w:style w:type="character" w:customStyle="1" w:styleId="BoldemphasisChar">
    <w:name w:val="Bold emphasis Char"/>
    <w:basedOn w:val="MainTextChar"/>
    <w:link w:val="Boldemphasis"/>
    <w:rsid w:val="00D73879"/>
    <w:rPr>
      <w:rFonts w:ascii="Calibri" w:eastAsiaTheme="minorEastAsia" w:hAnsi="Calibri" w:cs="Arial"/>
      <w:color w:val="000000" w:themeColor="text1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D73879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bullet">
    <w:name w:val="small bullet"/>
    <w:basedOn w:val="Bullettext"/>
    <w:link w:val="smallbulletChar"/>
    <w:qFormat/>
    <w:rsid w:val="00D73879"/>
    <w:pPr>
      <w:numPr>
        <w:numId w:val="5"/>
      </w:numPr>
      <w:spacing w:before="20" w:after="20"/>
    </w:pPr>
    <w:rPr>
      <w:szCs w:val="18"/>
    </w:rPr>
  </w:style>
  <w:style w:type="character" w:customStyle="1" w:styleId="BullettextChar">
    <w:name w:val="Bullet text Char"/>
    <w:basedOn w:val="DefaultParagraphFont"/>
    <w:link w:val="Bullettext"/>
    <w:rsid w:val="00D73879"/>
    <w:rPr>
      <w:rFonts w:ascii="Calibri" w:eastAsiaTheme="minorEastAsia" w:hAnsi="Calibri" w:cs="Arial"/>
      <w:color w:val="000000" w:themeColor="text1"/>
      <w:sz w:val="24"/>
      <w:szCs w:val="20"/>
      <w:lang w:val="en-GB"/>
    </w:rPr>
  </w:style>
  <w:style w:type="character" w:customStyle="1" w:styleId="smallbulletChar">
    <w:name w:val="small bullet Char"/>
    <w:basedOn w:val="BullettextChar"/>
    <w:link w:val="smallbullet"/>
    <w:rsid w:val="00D73879"/>
    <w:rPr>
      <w:rFonts w:ascii="Calibri" w:eastAsiaTheme="minorEastAsia" w:hAnsi="Calibri" w:cs="Arial"/>
      <w:color w:val="000000" w:themeColor="text1"/>
      <w:sz w:val="24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the-7-principles-of-public-life/the-7-principles-of-public-life--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N Lovett</dc:creator>
  <cp:lastModifiedBy>Amy Wright</cp:lastModifiedBy>
  <cp:revision>2</cp:revision>
  <dcterms:created xsi:type="dcterms:W3CDTF">2025-06-16T16:24:00Z</dcterms:created>
  <dcterms:modified xsi:type="dcterms:W3CDTF">2025-06-16T16:24:00Z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2022-07-26T00:00:00Z</vt:filetime>
  </property>
  <property fmtid="{D5CDD505-2E9C-101B-9397-08002B2CF9AE}" pid="5" name="Producer">
    <vt:lpwstr>Microsoft® Word for Microsoft 365</vt:lpwstr>
  </property>
</Properties>
</file>