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5B3B" w14:textId="4DBAC476" w:rsidR="002C3FA2" w:rsidRPr="00014610" w:rsidRDefault="002C3FA2" w:rsidP="002C3FA2">
      <w:pPr>
        <w:spacing w:after="0" w:line="240" w:lineRule="auto"/>
        <w:rPr>
          <w:rFonts w:ascii="Open Sans" w:eastAsia="Times New Roman" w:hAnsi="Open Sans" w:cs="Open Sans"/>
          <w:b/>
          <w:bCs/>
          <w:sz w:val="24"/>
          <w:szCs w:val="24"/>
          <w:u w:val="single"/>
          <w:lang w:eastAsia="en-GB"/>
        </w:rPr>
      </w:pPr>
      <w:r>
        <w:rPr>
          <w:rFonts w:ascii="Open Sans" w:eastAsia="Times New Roman" w:hAnsi="Open Sans" w:cs="Open Sans"/>
          <w:b/>
          <w:bCs/>
          <w:sz w:val="24"/>
          <w:szCs w:val="24"/>
          <w:u w:val="single"/>
          <w:lang w:eastAsia="en-GB"/>
        </w:rPr>
        <w:t>Deputy Head of Governance – Portsmouth or Kent</w:t>
      </w:r>
    </w:p>
    <w:p w14:paraId="79A4B5DB" w14:textId="08D3D175" w:rsidR="002C3FA2" w:rsidRPr="00395228" w:rsidRDefault="002C3FA2" w:rsidP="002C3FA2">
      <w:pPr>
        <w:spacing w:after="0" w:line="240" w:lineRule="auto"/>
        <w:rPr>
          <w:rFonts w:ascii="Open Sans" w:eastAsia="Times New Roman" w:hAnsi="Open Sans" w:cs="Open Sans"/>
          <w:b/>
          <w:bCs/>
          <w:sz w:val="24"/>
          <w:szCs w:val="24"/>
          <w:lang w:eastAsia="en-GB"/>
        </w:rPr>
      </w:pPr>
      <w:r w:rsidRPr="006C1DE3">
        <w:rPr>
          <w:rFonts w:ascii="Open Sans" w:eastAsia="Times New Roman" w:hAnsi="Open Sans" w:cs="Open Sans"/>
          <w:b/>
          <w:bCs/>
          <w:sz w:val="24"/>
          <w:szCs w:val="24"/>
          <w:lang w:eastAsia="en-GB"/>
        </w:rPr>
        <w:t>Salary</w:t>
      </w:r>
      <w:r w:rsidRPr="00103086">
        <w:rPr>
          <w:rFonts w:ascii="Open Sans" w:eastAsia="Times New Roman" w:hAnsi="Open Sans" w:cs="Open Sans"/>
          <w:b/>
          <w:bCs/>
          <w:sz w:val="24"/>
          <w:szCs w:val="24"/>
          <w:lang w:eastAsia="en-GB"/>
        </w:rPr>
        <w:t xml:space="preserve">: </w:t>
      </w:r>
      <w:r w:rsidRPr="002C3FA2">
        <w:rPr>
          <w:rFonts w:ascii="Open Sans" w:hAnsi="Open Sans" w:cs="Open Sans"/>
          <w:b/>
          <w:bCs/>
          <w:color w:val="333333"/>
          <w:sz w:val="24"/>
          <w:szCs w:val="24"/>
          <w:shd w:val="clear" w:color="auto" w:fill="FFFFFF"/>
        </w:rPr>
        <w:t>TSAT Pay Group 6 £38,268 - £45,556 per annum</w:t>
      </w:r>
    </w:p>
    <w:p w14:paraId="3EE18114" w14:textId="77777777" w:rsidR="002C3FA2" w:rsidRPr="006C16FD" w:rsidRDefault="002C3FA2" w:rsidP="002C3FA2">
      <w:pPr>
        <w:spacing w:after="0" w:line="240" w:lineRule="auto"/>
        <w:rPr>
          <w:rFonts w:ascii="Open Sans" w:eastAsia="Times New Roman" w:hAnsi="Open Sans" w:cs="Open Sans"/>
          <w:sz w:val="24"/>
          <w:szCs w:val="24"/>
          <w:lang w:eastAsia="en-GB"/>
        </w:rPr>
      </w:pPr>
      <w:r w:rsidRPr="006C16FD">
        <w:rPr>
          <w:rFonts w:ascii="Open Sans" w:eastAsia="Times New Roman" w:hAnsi="Open Sans" w:cs="Open Sans"/>
          <w:b/>
          <w:bCs/>
          <w:sz w:val="24"/>
          <w:szCs w:val="24"/>
          <w:lang w:eastAsia="en-GB"/>
        </w:rPr>
        <w:t xml:space="preserve">Hours: </w:t>
      </w:r>
      <w:r>
        <w:rPr>
          <w:rFonts w:ascii="Open Sans" w:eastAsia="Times New Roman" w:hAnsi="Open Sans" w:cs="Open Sans"/>
          <w:b/>
          <w:bCs/>
          <w:sz w:val="24"/>
          <w:szCs w:val="24"/>
          <w:lang w:eastAsia="en-GB"/>
        </w:rPr>
        <w:t>Full time</w:t>
      </w:r>
    </w:p>
    <w:p w14:paraId="6C21B31B" w14:textId="49EE3A12" w:rsidR="002C3FA2" w:rsidRPr="006C16FD" w:rsidRDefault="002C3FA2" w:rsidP="002C3FA2">
      <w:pPr>
        <w:spacing w:after="0" w:line="240" w:lineRule="auto"/>
        <w:rPr>
          <w:rFonts w:ascii="Open Sans" w:eastAsia="Times New Roman" w:hAnsi="Open Sans" w:cs="Open Sans"/>
          <w:sz w:val="24"/>
          <w:szCs w:val="24"/>
          <w:lang w:eastAsia="en-GB"/>
        </w:rPr>
      </w:pPr>
      <w:r w:rsidRPr="006C16FD">
        <w:rPr>
          <w:rFonts w:ascii="Open Sans" w:eastAsia="Times New Roman" w:hAnsi="Open Sans" w:cs="Open Sans"/>
          <w:b/>
          <w:bCs/>
          <w:sz w:val="24"/>
          <w:szCs w:val="24"/>
          <w:lang w:eastAsia="en-GB"/>
        </w:rPr>
        <w:t xml:space="preserve">Start date: </w:t>
      </w:r>
      <w:r>
        <w:rPr>
          <w:rFonts w:ascii="Open Sans" w:hAnsi="Open Sans" w:cs="Open Sans"/>
          <w:b/>
          <w:bCs/>
          <w:color w:val="333333"/>
          <w:sz w:val="24"/>
          <w:szCs w:val="24"/>
          <w:shd w:val="clear" w:color="auto" w:fill="FFFFFF"/>
        </w:rPr>
        <w:t xml:space="preserve">July 2025 </w:t>
      </w:r>
    </w:p>
    <w:p w14:paraId="63E100A7" w14:textId="77777777" w:rsidR="002C3FA2" w:rsidRPr="006C16FD" w:rsidRDefault="002C3FA2" w:rsidP="002C3FA2">
      <w:pPr>
        <w:spacing w:after="0" w:line="240" w:lineRule="auto"/>
        <w:rPr>
          <w:rFonts w:ascii="Open Sans" w:eastAsia="Times New Roman" w:hAnsi="Open Sans" w:cs="Open Sans"/>
          <w:sz w:val="24"/>
          <w:szCs w:val="24"/>
          <w:lang w:eastAsia="en-GB"/>
        </w:rPr>
      </w:pPr>
      <w:r w:rsidRPr="006C16FD">
        <w:rPr>
          <w:rFonts w:ascii="Open Sans" w:eastAsia="Times New Roman" w:hAnsi="Open Sans" w:cs="Open Sans"/>
          <w:b/>
          <w:bCs/>
          <w:sz w:val="24"/>
          <w:szCs w:val="24"/>
          <w:lang w:eastAsia="en-GB"/>
        </w:rPr>
        <w:t xml:space="preserve">Contract: </w:t>
      </w:r>
      <w:r>
        <w:rPr>
          <w:rFonts w:ascii="Open Sans" w:eastAsia="Times New Roman" w:hAnsi="Open Sans" w:cs="Open Sans"/>
          <w:b/>
          <w:bCs/>
          <w:sz w:val="24"/>
          <w:szCs w:val="24"/>
          <w:lang w:eastAsia="en-GB"/>
        </w:rPr>
        <w:t>Permanent</w:t>
      </w:r>
    </w:p>
    <w:p w14:paraId="49E2EB99" w14:textId="13ABED52" w:rsidR="002C3FA2" w:rsidRPr="006C16FD" w:rsidRDefault="002C3FA2" w:rsidP="002C3FA2">
      <w:pPr>
        <w:spacing w:after="0" w:line="240" w:lineRule="auto"/>
        <w:rPr>
          <w:rFonts w:ascii="Open Sans" w:eastAsia="Times New Roman" w:hAnsi="Open Sans" w:cs="Open Sans"/>
          <w:sz w:val="24"/>
          <w:szCs w:val="24"/>
          <w:lang w:eastAsia="en-GB"/>
        </w:rPr>
      </w:pPr>
      <w:r w:rsidRPr="006C16FD">
        <w:rPr>
          <w:rFonts w:ascii="Open Sans" w:eastAsia="Times New Roman" w:hAnsi="Open Sans" w:cs="Open Sans"/>
          <w:b/>
          <w:bCs/>
          <w:sz w:val="24"/>
          <w:szCs w:val="24"/>
          <w:lang w:eastAsia="en-GB"/>
        </w:rPr>
        <w:t xml:space="preserve">Closing Date: </w:t>
      </w:r>
      <w:r>
        <w:rPr>
          <w:rFonts w:ascii="Open Sans" w:eastAsia="Times New Roman" w:hAnsi="Open Sans" w:cs="Open Sans"/>
          <w:b/>
          <w:bCs/>
          <w:sz w:val="24"/>
          <w:szCs w:val="24"/>
          <w:lang w:eastAsia="en-GB"/>
        </w:rPr>
        <w:t>09/06/2025</w:t>
      </w:r>
    </w:p>
    <w:p w14:paraId="217519C3" w14:textId="6421D2B4" w:rsidR="002C3FA2" w:rsidRPr="006C16FD" w:rsidRDefault="002C3FA2" w:rsidP="002C3FA2">
      <w:pPr>
        <w:rPr>
          <w:rFonts w:ascii="Open Sans" w:eastAsia="Times New Roman" w:hAnsi="Open Sans" w:cs="Open Sans"/>
          <w:b/>
          <w:bCs/>
          <w:sz w:val="24"/>
          <w:szCs w:val="24"/>
          <w:lang w:eastAsia="en-GB"/>
        </w:rPr>
      </w:pPr>
      <w:r w:rsidRPr="006C16FD">
        <w:rPr>
          <w:rFonts w:ascii="Open Sans" w:eastAsia="Times New Roman" w:hAnsi="Open Sans" w:cs="Open Sans"/>
          <w:b/>
          <w:bCs/>
          <w:sz w:val="24"/>
          <w:szCs w:val="24"/>
          <w:lang w:eastAsia="en-GB"/>
        </w:rPr>
        <w:t xml:space="preserve">Interview Date: </w:t>
      </w:r>
      <w:r>
        <w:rPr>
          <w:rFonts w:ascii="Open Sans" w:eastAsia="Times New Roman" w:hAnsi="Open Sans" w:cs="Open Sans"/>
          <w:b/>
          <w:bCs/>
          <w:sz w:val="24"/>
          <w:szCs w:val="24"/>
          <w:lang w:eastAsia="en-GB"/>
        </w:rPr>
        <w:t xml:space="preserve">17/06/2025 </w:t>
      </w:r>
      <w:r w:rsidR="00B10546">
        <w:rPr>
          <w:rFonts w:ascii="Open Sans" w:eastAsia="Times New Roman" w:hAnsi="Open Sans" w:cs="Open Sans"/>
          <w:b/>
          <w:bCs/>
          <w:sz w:val="24"/>
          <w:szCs w:val="24"/>
          <w:lang w:eastAsia="en-GB"/>
        </w:rPr>
        <w:t>in Portsmouth</w:t>
      </w:r>
    </w:p>
    <w:p w14:paraId="49E8E342" w14:textId="1A07825E" w:rsidR="002C3FA2" w:rsidRDefault="002C3FA2" w:rsidP="002C3FA2">
      <w:pPr>
        <w:shd w:val="clear" w:color="auto" w:fill="FFFFFF"/>
        <w:spacing w:after="360" w:line="240" w:lineRule="auto"/>
        <w:rPr>
          <w:rFonts w:ascii="Segoe UI Emoji" w:eastAsia="Times New Roman" w:hAnsi="Segoe UI Emoji" w:cs="Segoe UI Emoji"/>
          <w:b/>
          <w:bCs/>
          <w:color w:val="333333"/>
          <w:sz w:val="24"/>
          <w:szCs w:val="24"/>
          <w:lang w:eastAsia="en-GB"/>
        </w:rPr>
      </w:pPr>
      <w:r w:rsidRPr="006C16FD">
        <w:rPr>
          <w:rStyle w:val="Strong"/>
          <w:rFonts w:ascii="Open Sans" w:hAnsi="Open Sans" w:cs="Open Sans"/>
          <w:color w:val="363636"/>
          <w:shd w:val="clear" w:color="auto" w:fill="FFFFFF"/>
        </w:rPr>
        <w:t>To apply please refer to The Thinking Schools Academy Trust website:</w:t>
      </w:r>
      <w:r>
        <w:rPr>
          <w:rStyle w:val="Strong"/>
          <w:rFonts w:ascii="Open Sans" w:hAnsi="Open Sans" w:cs="Open Sans"/>
          <w:color w:val="363636"/>
          <w:shd w:val="clear" w:color="auto" w:fill="FFFFFF"/>
        </w:rPr>
        <w:t xml:space="preserve"> </w:t>
      </w:r>
      <w:hyperlink r:id="rId5" w:history="1">
        <w:r>
          <w:rPr>
            <w:rStyle w:val="Hyperlink"/>
          </w:rPr>
          <w:t>Deputy Head of Governance - Portsmouth or Kent in Portsmouth - TSAT</w:t>
        </w:r>
      </w:hyperlink>
    </w:p>
    <w:p w14:paraId="09128984" w14:textId="06634468" w:rsidR="006E6959" w:rsidRPr="006E6959" w:rsidRDefault="006E6959" w:rsidP="006E6959">
      <w:pPr>
        <w:shd w:val="clear" w:color="auto" w:fill="FFFFFF"/>
        <w:spacing w:after="360" w:line="240" w:lineRule="auto"/>
        <w:rPr>
          <w:rFonts w:ascii="Open Sans" w:eastAsia="Times New Roman" w:hAnsi="Open Sans" w:cs="Open Sans"/>
          <w:color w:val="333333"/>
          <w:sz w:val="24"/>
          <w:szCs w:val="24"/>
          <w:lang w:eastAsia="en-GB"/>
        </w:rPr>
      </w:pPr>
      <w:r w:rsidRPr="006E6959">
        <w:rPr>
          <w:rFonts w:ascii="Segoe UI Emoji" w:eastAsia="Times New Roman" w:hAnsi="Segoe UI Emoji" w:cs="Segoe UI Emoji"/>
          <w:b/>
          <w:bCs/>
          <w:color w:val="333333"/>
          <w:sz w:val="24"/>
          <w:szCs w:val="24"/>
          <w:lang w:eastAsia="en-GB"/>
        </w:rPr>
        <w:t>🌟</w:t>
      </w:r>
      <w:r w:rsidRPr="006E6959">
        <w:rPr>
          <w:rFonts w:ascii="Open Sans" w:eastAsia="Times New Roman" w:hAnsi="Open Sans" w:cs="Open Sans"/>
          <w:b/>
          <w:bCs/>
          <w:color w:val="333333"/>
          <w:sz w:val="24"/>
          <w:szCs w:val="24"/>
          <w:lang w:eastAsia="en-GB"/>
        </w:rPr>
        <w:t> Deputy Head of Governance – Exciting opportunity to join a high-performing team </w:t>
      </w:r>
      <w:r w:rsidRPr="006E6959">
        <w:rPr>
          <w:rFonts w:ascii="Segoe UI Emoji" w:eastAsia="Times New Roman" w:hAnsi="Segoe UI Emoji" w:cs="Segoe UI Emoji"/>
          <w:b/>
          <w:bCs/>
          <w:color w:val="333333"/>
          <w:sz w:val="24"/>
          <w:szCs w:val="24"/>
          <w:lang w:eastAsia="en-GB"/>
        </w:rPr>
        <w:t>🌟</w:t>
      </w:r>
    </w:p>
    <w:p w14:paraId="273245D3" w14:textId="77777777" w:rsidR="006E6959" w:rsidRPr="006E6959" w:rsidRDefault="006E6959" w:rsidP="006E6959">
      <w:pPr>
        <w:shd w:val="clear" w:color="auto" w:fill="FFFFFF"/>
        <w:spacing w:after="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Location: Portsmouth or Kent</w:t>
      </w:r>
    </w:p>
    <w:p w14:paraId="4EAD8452" w14:textId="77777777" w:rsidR="006E6959" w:rsidRPr="006E6959" w:rsidRDefault="006E6959" w:rsidP="006E6959">
      <w:pPr>
        <w:shd w:val="clear" w:color="auto" w:fill="FFFFFF"/>
        <w:spacing w:after="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 </w:t>
      </w:r>
    </w:p>
    <w:p w14:paraId="71BA215E" w14:textId="77777777" w:rsidR="006E6959" w:rsidRPr="006E6959" w:rsidRDefault="006E6959" w:rsidP="006E6959">
      <w:pPr>
        <w:shd w:val="clear" w:color="auto" w:fill="FFFFFF"/>
        <w:spacing w:after="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color w:val="333333"/>
          <w:sz w:val="24"/>
          <w:szCs w:val="24"/>
          <w:lang w:eastAsia="en-GB"/>
        </w:rPr>
        <w:t>We are delighted to offer an exciting opportunity to join our outstanding Governance &amp; Compliance team as a </w:t>
      </w:r>
      <w:r w:rsidRPr="006E6959">
        <w:rPr>
          <w:rFonts w:ascii="Open Sans" w:eastAsia="Times New Roman" w:hAnsi="Open Sans" w:cs="Open Sans"/>
          <w:b/>
          <w:bCs/>
          <w:color w:val="333333"/>
          <w:sz w:val="24"/>
          <w:szCs w:val="24"/>
          <w:lang w:eastAsia="en-GB"/>
        </w:rPr>
        <w:t>Deputy Head of Governance</w:t>
      </w:r>
      <w:r w:rsidRPr="006E6959">
        <w:rPr>
          <w:rFonts w:ascii="Open Sans" w:eastAsia="Times New Roman" w:hAnsi="Open Sans" w:cs="Open Sans"/>
          <w:color w:val="333333"/>
          <w:sz w:val="24"/>
          <w:szCs w:val="24"/>
          <w:lang w:eastAsia="en-GB"/>
        </w:rPr>
        <w:t>, following a valued colleague’s upcoming emigration.</w:t>
      </w:r>
    </w:p>
    <w:p w14:paraId="0C9EFC5A" w14:textId="77777777" w:rsidR="006E6959" w:rsidRPr="006E6959" w:rsidRDefault="006E6959" w:rsidP="006E6959">
      <w:pPr>
        <w:shd w:val="clear" w:color="auto" w:fill="FFFFFF"/>
        <w:spacing w:after="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color w:val="333333"/>
          <w:sz w:val="24"/>
          <w:szCs w:val="24"/>
          <w:lang w:eastAsia="en-GB"/>
        </w:rPr>
        <w:t> </w:t>
      </w:r>
    </w:p>
    <w:p w14:paraId="4A43BD12" w14:textId="77777777" w:rsidR="006E6959" w:rsidRPr="006E6959" w:rsidRDefault="006E6959" w:rsidP="006E6959">
      <w:pPr>
        <w:shd w:val="clear" w:color="auto" w:fill="FFFFFF"/>
        <w:spacing w:after="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color w:val="333333"/>
          <w:sz w:val="24"/>
          <w:szCs w:val="24"/>
          <w:lang w:eastAsia="en-GB"/>
        </w:rPr>
        <w:t>This rare vacancy gives the right candidate the chance to step into a pivotal role within a team that is highly regarded both internally and externally. Our Governance &amp; Compliance team has been celebrated for excellence, professionalism, and impact, recently scoring the highest ratings across the Trust in both a Wellbeing Survey and a Career Development and Aspirations Survey.</w:t>
      </w:r>
      <w:r w:rsidRPr="006E6959">
        <w:rPr>
          <w:rFonts w:ascii="Open Sans" w:eastAsia="Times New Roman" w:hAnsi="Open Sans" w:cs="Open Sans"/>
          <w:color w:val="333333"/>
          <w:sz w:val="24"/>
          <w:szCs w:val="24"/>
          <w:lang w:eastAsia="en-GB"/>
        </w:rPr>
        <w:br/>
      </w:r>
      <w:r w:rsidRPr="006E6959">
        <w:rPr>
          <w:rFonts w:ascii="Open Sans" w:eastAsia="Times New Roman" w:hAnsi="Open Sans" w:cs="Open Sans"/>
          <w:color w:val="333333"/>
          <w:sz w:val="24"/>
          <w:szCs w:val="24"/>
          <w:lang w:eastAsia="en-GB"/>
        </w:rPr>
        <w:br/>
      </w:r>
      <w:r w:rsidRPr="006E6959">
        <w:rPr>
          <w:rFonts w:ascii="Open Sans" w:eastAsia="Times New Roman" w:hAnsi="Open Sans" w:cs="Open Sans"/>
          <w:color w:val="333333"/>
          <w:sz w:val="24"/>
          <w:szCs w:val="24"/>
          <w:lang w:eastAsia="en-GB"/>
        </w:rPr>
        <w:br/>
      </w:r>
      <w:r w:rsidRPr="006E6959">
        <w:rPr>
          <w:rFonts w:ascii="Open Sans" w:eastAsia="Times New Roman" w:hAnsi="Open Sans" w:cs="Open Sans"/>
          <w:b/>
          <w:bCs/>
          <w:color w:val="333333"/>
          <w:sz w:val="24"/>
          <w:szCs w:val="24"/>
          <w:lang w:eastAsia="en-GB"/>
        </w:rPr>
        <w:t>About the Role</w:t>
      </w:r>
      <w:r w:rsidRPr="006E6959">
        <w:rPr>
          <w:rFonts w:ascii="Open Sans" w:eastAsia="Times New Roman" w:hAnsi="Open Sans" w:cs="Open Sans"/>
          <w:color w:val="333333"/>
          <w:sz w:val="24"/>
          <w:szCs w:val="24"/>
          <w:lang w:eastAsia="en-GB"/>
        </w:rPr>
        <w:br/>
      </w:r>
      <w:r w:rsidRPr="006E6959">
        <w:rPr>
          <w:rFonts w:ascii="Open Sans" w:eastAsia="Times New Roman" w:hAnsi="Open Sans" w:cs="Open Sans"/>
          <w:color w:val="333333"/>
          <w:sz w:val="24"/>
          <w:szCs w:val="24"/>
          <w:lang w:eastAsia="en-GB"/>
        </w:rPr>
        <w:br/>
        <w:t>As Deputy Head of Governance, you will play a key leadership role within a well-established and supportive team. Working closely with the Head of Governance and Compliance and other regional professionals, you will:</w:t>
      </w:r>
      <w:r w:rsidRPr="006E6959">
        <w:rPr>
          <w:rFonts w:ascii="Open Sans" w:eastAsia="Times New Roman" w:hAnsi="Open Sans" w:cs="Open Sans"/>
          <w:color w:val="333333"/>
          <w:sz w:val="24"/>
          <w:szCs w:val="24"/>
          <w:lang w:eastAsia="en-GB"/>
        </w:rPr>
        <w:br/>
      </w:r>
      <w:r w:rsidRPr="006E6959">
        <w:rPr>
          <w:rFonts w:ascii="Open Sans" w:eastAsia="Times New Roman" w:hAnsi="Open Sans" w:cs="Open Sans"/>
          <w:color w:val="333333"/>
          <w:sz w:val="24"/>
          <w:szCs w:val="24"/>
          <w:lang w:eastAsia="en-GB"/>
        </w:rPr>
        <w:br/>
        <w:t>• </w:t>
      </w:r>
      <w:r w:rsidRPr="006E6959">
        <w:rPr>
          <w:rFonts w:ascii="Open Sans" w:eastAsia="Times New Roman" w:hAnsi="Open Sans" w:cs="Open Sans"/>
          <w:b/>
          <w:bCs/>
          <w:color w:val="333333"/>
          <w:sz w:val="24"/>
          <w:szCs w:val="24"/>
          <w:lang w:eastAsia="en-GB"/>
        </w:rPr>
        <w:t>Help deliver high-quality,</w:t>
      </w:r>
      <w:r w:rsidRPr="006E6959">
        <w:rPr>
          <w:rFonts w:ascii="Open Sans" w:eastAsia="Times New Roman" w:hAnsi="Open Sans" w:cs="Open Sans"/>
          <w:color w:val="333333"/>
          <w:sz w:val="24"/>
          <w:szCs w:val="24"/>
          <w:lang w:eastAsia="en-GB"/>
        </w:rPr>
        <w:t> customer-focused governor services to schools, governors, and clerks.</w:t>
      </w:r>
      <w:r w:rsidRPr="006E6959">
        <w:rPr>
          <w:rFonts w:ascii="Open Sans" w:eastAsia="Times New Roman" w:hAnsi="Open Sans" w:cs="Open Sans"/>
          <w:color w:val="333333"/>
          <w:sz w:val="24"/>
          <w:szCs w:val="24"/>
          <w:lang w:eastAsia="en-GB"/>
        </w:rPr>
        <w:br/>
        <w:t>• </w:t>
      </w:r>
      <w:r w:rsidRPr="006E6959">
        <w:rPr>
          <w:rFonts w:ascii="Open Sans" w:eastAsia="Times New Roman" w:hAnsi="Open Sans" w:cs="Open Sans"/>
          <w:b/>
          <w:bCs/>
          <w:color w:val="333333"/>
          <w:sz w:val="24"/>
          <w:szCs w:val="24"/>
          <w:lang w:eastAsia="en-GB"/>
        </w:rPr>
        <w:t>Lead on local and regional</w:t>
      </w:r>
      <w:r w:rsidRPr="006E6959">
        <w:rPr>
          <w:rFonts w:ascii="Open Sans" w:eastAsia="Times New Roman" w:hAnsi="Open Sans" w:cs="Open Sans"/>
          <w:color w:val="333333"/>
          <w:sz w:val="24"/>
          <w:szCs w:val="24"/>
          <w:lang w:eastAsia="en-GB"/>
        </w:rPr>
        <w:t> governance improvement plans.</w:t>
      </w:r>
      <w:r w:rsidRPr="006E6959">
        <w:rPr>
          <w:rFonts w:ascii="Open Sans" w:eastAsia="Times New Roman" w:hAnsi="Open Sans" w:cs="Open Sans"/>
          <w:color w:val="333333"/>
          <w:sz w:val="24"/>
          <w:szCs w:val="24"/>
          <w:lang w:eastAsia="en-GB"/>
        </w:rPr>
        <w:br/>
        <w:t>• </w:t>
      </w:r>
      <w:r w:rsidRPr="006E6959">
        <w:rPr>
          <w:rFonts w:ascii="Open Sans" w:eastAsia="Times New Roman" w:hAnsi="Open Sans" w:cs="Open Sans"/>
          <w:b/>
          <w:bCs/>
          <w:color w:val="333333"/>
          <w:sz w:val="24"/>
          <w:szCs w:val="24"/>
          <w:lang w:eastAsia="en-GB"/>
        </w:rPr>
        <w:t>Oversee and support </w:t>
      </w:r>
      <w:r w:rsidRPr="006E6959">
        <w:rPr>
          <w:rFonts w:ascii="Open Sans" w:eastAsia="Times New Roman" w:hAnsi="Open Sans" w:cs="Open Sans"/>
          <w:color w:val="333333"/>
          <w:sz w:val="24"/>
          <w:szCs w:val="24"/>
          <w:lang w:eastAsia="en-GB"/>
        </w:rPr>
        <w:t>governance meetings, recruitment, training, and clerking standards.</w:t>
      </w:r>
      <w:r w:rsidRPr="006E6959">
        <w:rPr>
          <w:rFonts w:ascii="Open Sans" w:eastAsia="Times New Roman" w:hAnsi="Open Sans" w:cs="Open Sans"/>
          <w:color w:val="333333"/>
          <w:sz w:val="24"/>
          <w:szCs w:val="24"/>
          <w:lang w:eastAsia="en-GB"/>
        </w:rPr>
        <w:br/>
        <w:t>• </w:t>
      </w:r>
      <w:r w:rsidRPr="006E6959">
        <w:rPr>
          <w:rFonts w:ascii="Open Sans" w:eastAsia="Times New Roman" w:hAnsi="Open Sans" w:cs="Open Sans"/>
          <w:b/>
          <w:bCs/>
          <w:color w:val="333333"/>
          <w:sz w:val="24"/>
          <w:szCs w:val="24"/>
          <w:lang w:eastAsia="en-GB"/>
        </w:rPr>
        <w:t>Be the point of contact</w:t>
      </w:r>
      <w:r w:rsidRPr="006E6959">
        <w:rPr>
          <w:rFonts w:ascii="Open Sans" w:eastAsia="Times New Roman" w:hAnsi="Open Sans" w:cs="Open Sans"/>
          <w:color w:val="333333"/>
          <w:sz w:val="24"/>
          <w:szCs w:val="24"/>
          <w:lang w:eastAsia="en-GB"/>
        </w:rPr>
        <w:t> for governance professionals, leaders, and external partners.</w:t>
      </w:r>
      <w:r w:rsidRPr="006E6959">
        <w:rPr>
          <w:rFonts w:ascii="Open Sans" w:eastAsia="Times New Roman" w:hAnsi="Open Sans" w:cs="Open Sans"/>
          <w:color w:val="333333"/>
          <w:sz w:val="24"/>
          <w:szCs w:val="24"/>
          <w:lang w:eastAsia="en-GB"/>
        </w:rPr>
        <w:br/>
        <w:t>• </w:t>
      </w:r>
      <w:r w:rsidRPr="006E6959">
        <w:rPr>
          <w:rFonts w:ascii="Open Sans" w:eastAsia="Times New Roman" w:hAnsi="Open Sans" w:cs="Open Sans"/>
          <w:b/>
          <w:bCs/>
          <w:color w:val="333333"/>
          <w:sz w:val="24"/>
          <w:szCs w:val="24"/>
          <w:lang w:eastAsia="en-GB"/>
        </w:rPr>
        <w:t>Support the delivery </w:t>
      </w:r>
      <w:r w:rsidRPr="006E6959">
        <w:rPr>
          <w:rFonts w:ascii="Open Sans" w:eastAsia="Times New Roman" w:hAnsi="Open Sans" w:cs="Open Sans"/>
          <w:color w:val="333333"/>
          <w:sz w:val="24"/>
          <w:szCs w:val="24"/>
          <w:lang w:eastAsia="en-GB"/>
        </w:rPr>
        <w:t>of our annual development plan and strategic goals.</w:t>
      </w:r>
    </w:p>
    <w:p w14:paraId="23B9341B" w14:textId="77777777" w:rsidR="006E6959" w:rsidRPr="006E6959" w:rsidRDefault="006E6959" w:rsidP="006E6959">
      <w:pPr>
        <w:shd w:val="clear" w:color="auto" w:fill="FFFFFF"/>
        <w:spacing w:after="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color w:val="333333"/>
          <w:sz w:val="24"/>
          <w:szCs w:val="24"/>
          <w:lang w:eastAsia="en-GB"/>
        </w:rPr>
        <w:t> </w:t>
      </w:r>
    </w:p>
    <w:p w14:paraId="1310BE1D" w14:textId="77777777" w:rsidR="006E6959" w:rsidRPr="006E6959" w:rsidRDefault="006E6959" w:rsidP="006E6959">
      <w:pPr>
        <w:shd w:val="clear" w:color="auto" w:fill="FFFFFF"/>
        <w:spacing w:after="36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color w:val="333333"/>
          <w:sz w:val="24"/>
          <w:szCs w:val="24"/>
          <w:lang w:eastAsia="en-GB"/>
        </w:rPr>
        <w:lastRenderedPageBreak/>
        <w:t>This role also includes mentoring, building professional relationships across the Trust, and ensuring all services are compliant with statutory and Trust-level governance requirements. You can be based in either </w:t>
      </w:r>
      <w:r w:rsidRPr="006E6959">
        <w:rPr>
          <w:rFonts w:ascii="Open Sans" w:eastAsia="Times New Roman" w:hAnsi="Open Sans" w:cs="Open Sans"/>
          <w:b/>
          <w:bCs/>
          <w:color w:val="333333"/>
          <w:sz w:val="24"/>
          <w:szCs w:val="24"/>
          <w:lang w:eastAsia="en-GB"/>
        </w:rPr>
        <w:t>Portsmouth </w:t>
      </w:r>
      <w:r w:rsidRPr="006E6959">
        <w:rPr>
          <w:rFonts w:ascii="Open Sans" w:eastAsia="Times New Roman" w:hAnsi="Open Sans" w:cs="Open Sans"/>
          <w:color w:val="333333"/>
          <w:sz w:val="24"/>
          <w:szCs w:val="24"/>
          <w:lang w:eastAsia="en-GB"/>
        </w:rPr>
        <w:t>or </w:t>
      </w:r>
      <w:r w:rsidRPr="006E6959">
        <w:rPr>
          <w:rFonts w:ascii="Open Sans" w:eastAsia="Times New Roman" w:hAnsi="Open Sans" w:cs="Open Sans"/>
          <w:b/>
          <w:bCs/>
          <w:color w:val="333333"/>
          <w:sz w:val="24"/>
          <w:szCs w:val="24"/>
          <w:lang w:eastAsia="en-GB"/>
        </w:rPr>
        <w:t>Kent</w:t>
      </w:r>
      <w:r w:rsidRPr="006E6959">
        <w:rPr>
          <w:rFonts w:ascii="Open Sans" w:eastAsia="Times New Roman" w:hAnsi="Open Sans" w:cs="Open Sans"/>
          <w:color w:val="333333"/>
          <w:sz w:val="24"/>
          <w:szCs w:val="24"/>
          <w:lang w:eastAsia="en-GB"/>
        </w:rPr>
        <w:t> with regular travel required across Trust sites and schools.</w:t>
      </w:r>
    </w:p>
    <w:p w14:paraId="045A0AE6" w14:textId="77777777" w:rsidR="006E6959" w:rsidRPr="006E6959" w:rsidRDefault="006E6959" w:rsidP="006E6959">
      <w:pPr>
        <w:shd w:val="clear" w:color="auto" w:fill="FFFFFF"/>
        <w:spacing w:after="36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Why Join Us?</w:t>
      </w:r>
    </w:p>
    <w:p w14:paraId="0D60BB0D" w14:textId="77777777" w:rsidR="006E6959" w:rsidRPr="006E6959" w:rsidRDefault="006E6959" w:rsidP="006E695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Be part of a high-performing</w:t>
      </w:r>
      <w:r w:rsidRPr="006E6959">
        <w:rPr>
          <w:rFonts w:ascii="Open Sans" w:eastAsia="Times New Roman" w:hAnsi="Open Sans" w:cs="Open Sans"/>
          <w:color w:val="333333"/>
          <w:sz w:val="24"/>
          <w:szCs w:val="24"/>
          <w:lang w:eastAsia="en-GB"/>
        </w:rPr>
        <w:t>, highly respected team known for exceptional delivery and collaboration.</w:t>
      </w:r>
    </w:p>
    <w:p w14:paraId="52F49C9E" w14:textId="77777777" w:rsidR="006E6959" w:rsidRPr="006E6959" w:rsidRDefault="006E6959" w:rsidP="006E695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Make a real impact</w:t>
      </w:r>
      <w:r w:rsidRPr="006E6959">
        <w:rPr>
          <w:rFonts w:ascii="Open Sans" w:eastAsia="Times New Roman" w:hAnsi="Open Sans" w:cs="Open Sans"/>
          <w:color w:val="333333"/>
          <w:sz w:val="24"/>
          <w:szCs w:val="24"/>
          <w:lang w:eastAsia="en-GB"/>
        </w:rPr>
        <w:t> across the Trust through strong leadership and meaningful governance support.</w:t>
      </w:r>
    </w:p>
    <w:p w14:paraId="0D292A66" w14:textId="77777777" w:rsidR="006E6959" w:rsidRPr="006E6959" w:rsidRDefault="006E6959" w:rsidP="006E695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Benefit from a well-structured induction</w:t>
      </w:r>
      <w:r w:rsidRPr="006E6959">
        <w:rPr>
          <w:rFonts w:ascii="Open Sans" w:eastAsia="Times New Roman" w:hAnsi="Open Sans" w:cs="Open Sans"/>
          <w:color w:val="333333"/>
          <w:sz w:val="24"/>
          <w:szCs w:val="24"/>
          <w:lang w:eastAsia="en-GB"/>
        </w:rPr>
        <w:t> and ongoing career development opportunities.</w:t>
      </w:r>
    </w:p>
    <w:p w14:paraId="7F4C4C17" w14:textId="77777777" w:rsidR="006E6959" w:rsidRPr="006E6959" w:rsidRDefault="006E6959" w:rsidP="006E695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Work within a culture</w:t>
      </w:r>
      <w:r w:rsidRPr="006E6959">
        <w:rPr>
          <w:rFonts w:ascii="Open Sans" w:eastAsia="Times New Roman" w:hAnsi="Open Sans" w:cs="Open Sans"/>
          <w:color w:val="333333"/>
          <w:sz w:val="24"/>
          <w:szCs w:val="24"/>
          <w:lang w:eastAsia="en-GB"/>
        </w:rPr>
        <w:t> where wellbeing, recognition, and aspirations are genuinely valued and supported.</w:t>
      </w:r>
    </w:p>
    <w:p w14:paraId="2D1001AC" w14:textId="77777777" w:rsidR="006E6959" w:rsidRPr="006E6959" w:rsidRDefault="006E6959" w:rsidP="006E6959">
      <w:pPr>
        <w:shd w:val="clear" w:color="auto" w:fill="FFFFFF"/>
        <w:spacing w:after="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color w:val="333333"/>
          <w:sz w:val="24"/>
          <w:szCs w:val="24"/>
          <w:lang w:eastAsia="en-GB"/>
        </w:rPr>
        <w:t>This role also offers flexibility with </w:t>
      </w:r>
      <w:r w:rsidRPr="006E6959">
        <w:rPr>
          <w:rFonts w:ascii="Open Sans" w:eastAsia="Times New Roman" w:hAnsi="Open Sans" w:cs="Open Sans"/>
          <w:b/>
          <w:bCs/>
          <w:color w:val="333333"/>
          <w:sz w:val="24"/>
          <w:szCs w:val="24"/>
          <w:lang w:eastAsia="en-GB"/>
        </w:rPr>
        <w:t>2-3 days working from home</w:t>
      </w:r>
      <w:r w:rsidRPr="006E6959">
        <w:rPr>
          <w:rFonts w:ascii="Open Sans" w:eastAsia="Times New Roman" w:hAnsi="Open Sans" w:cs="Open Sans"/>
          <w:color w:val="333333"/>
          <w:sz w:val="24"/>
          <w:szCs w:val="24"/>
          <w:lang w:eastAsia="en-GB"/>
        </w:rPr>
        <w:t>, supporting a healthy work-life balance.</w:t>
      </w:r>
    </w:p>
    <w:p w14:paraId="5A1CEBF0" w14:textId="77777777" w:rsidR="006E6959" w:rsidRPr="006E6959" w:rsidRDefault="006E6959" w:rsidP="006E6959">
      <w:pPr>
        <w:shd w:val="clear" w:color="auto" w:fill="FFFFFF"/>
        <w:spacing w:after="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color w:val="333333"/>
          <w:sz w:val="24"/>
          <w:szCs w:val="24"/>
          <w:lang w:eastAsia="en-GB"/>
        </w:rPr>
        <w:t> </w:t>
      </w:r>
    </w:p>
    <w:p w14:paraId="229448D4" w14:textId="77777777" w:rsidR="006E6959" w:rsidRPr="006E6959" w:rsidRDefault="006E6959" w:rsidP="006E6959">
      <w:pPr>
        <w:shd w:val="clear" w:color="auto" w:fill="FFFFFF"/>
        <w:spacing w:after="36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Ready to take your governance career to the next level with a team that’s making a difference? Apply now and become part of our journey.</w:t>
      </w:r>
    </w:p>
    <w:p w14:paraId="2DBAC369" w14:textId="77777777" w:rsidR="006E6959" w:rsidRPr="006E6959" w:rsidRDefault="006E6959" w:rsidP="006E6959">
      <w:pPr>
        <w:shd w:val="clear" w:color="auto" w:fill="FFFFFF"/>
        <w:spacing w:after="0" w:line="240" w:lineRule="auto"/>
        <w:rPr>
          <w:rFonts w:ascii="Open Sans" w:eastAsia="Times New Roman" w:hAnsi="Open Sans" w:cs="Open Sans"/>
          <w:color w:val="333333"/>
          <w:sz w:val="24"/>
          <w:szCs w:val="24"/>
          <w:lang w:eastAsia="en-GB"/>
        </w:rPr>
      </w:pPr>
    </w:p>
    <w:p w14:paraId="70E7572D" w14:textId="77777777" w:rsidR="006E6959" w:rsidRPr="006E6959" w:rsidRDefault="006E6959" w:rsidP="006E6959">
      <w:pPr>
        <w:shd w:val="clear" w:color="auto" w:fill="FFFFFF"/>
        <w:spacing w:after="0" w:line="240" w:lineRule="auto"/>
        <w:outlineLvl w:val="1"/>
        <w:rPr>
          <w:rFonts w:ascii="Open Sans" w:eastAsia="Times New Roman" w:hAnsi="Open Sans" w:cs="Open Sans"/>
          <w:b/>
          <w:bCs/>
          <w:color w:val="333333"/>
          <w:sz w:val="36"/>
          <w:szCs w:val="36"/>
          <w:lang w:eastAsia="en-GB"/>
        </w:rPr>
      </w:pPr>
      <w:r w:rsidRPr="006E6959">
        <w:rPr>
          <w:rFonts w:ascii="Open Sans" w:eastAsia="Times New Roman" w:hAnsi="Open Sans" w:cs="Open Sans"/>
          <w:b/>
          <w:bCs/>
          <w:color w:val="333333"/>
          <w:sz w:val="36"/>
          <w:szCs w:val="36"/>
          <w:lang w:eastAsia="en-GB"/>
        </w:rPr>
        <w:t>About Us</w:t>
      </w:r>
    </w:p>
    <w:p w14:paraId="760856D9" w14:textId="77777777" w:rsidR="006E6959" w:rsidRPr="006E6959" w:rsidRDefault="006E6959" w:rsidP="006E6959">
      <w:pPr>
        <w:shd w:val="clear" w:color="auto" w:fill="FFFFFF"/>
        <w:spacing w:after="360" w:line="240" w:lineRule="auto"/>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The Thinking Schools Academy Trust</w:t>
      </w:r>
    </w:p>
    <w:p w14:paraId="38F8CCA0" w14:textId="77777777" w:rsidR="006E6959" w:rsidRPr="006E6959" w:rsidRDefault="006E6959" w:rsidP="006E6959">
      <w:pPr>
        <w:shd w:val="clear" w:color="auto" w:fill="FFFFFF"/>
        <w:spacing w:after="360"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i/>
          <w:iCs/>
          <w:color w:val="000000"/>
          <w:sz w:val="24"/>
          <w:szCs w:val="24"/>
          <w:lang w:eastAsia="en-GB"/>
        </w:rPr>
        <w:t>The Thinking Schools Academy Trust is a family of schools across the South West, South, South East and East of England, consisting of early years, primary, secondary and specialist provision. </w:t>
      </w:r>
    </w:p>
    <w:p w14:paraId="3BCEF177" w14:textId="77777777" w:rsidR="006E6959" w:rsidRPr="006E6959" w:rsidRDefault="006E6959" w:rsidP="006E6959">
      <w:pPr>
        <w:shd w:val="clear" w:color="auto" w:fill="FFFFFF"/>
        <w:spacing w:after="360"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color w:val="000000"/>
          <w:sz w:val="24"/>
          <w:szCs w:val="24"/>
          <w:lang w:eastAsia="en-GB"/>
        </w:rPr>
        <w:t>We believe that every young person in our community deserves to have the best opportunities at life regardless of their individual circumstances.  That’s why we invest in our people and are recognised as the Multi Academy Trust Association Employer of the Year for 2025/2026, so that our staff are best supported to positively impact our pupils. </w:t>
      </w:r>
    </w:p>
    <w:p w14:paraId="0D1225D2" w14:textId="77777777" w:rsidR="006E6959" w:rsidRPr="006E6959" w:rsidRDefault="006E6959" w:rsidP="006E6959">
      <w:pPr>
        <w:shd w:val="clear" w:color="auto" w:fill="FFFFFF"/>
        <w:spacing w:after="360" w:line="240" w:lineRule="auto"/>
        <w:rPr>
          <w:rFonts w:ascii="Open Sans" w:eastAsia="Times New Roman" w:hAnsi="Open Sans" w:cs="Open Sans"/>
          <w:color w:val="333333"/>
          <w:sz w:val="24"/>
          <w:szCs w:val="24"/>
          <w:lang w:eastAsia="en-GB"/>
        </w:rPr>
      </w:pPr>
      <w:hyperlink r:id="rId6" w:history="1">
        <w:r w:rsidRPr="006E6959">
          <w:rPr>
            <w:rFonts w:ascii="Open Sans" w:eastAsia="Times New Roman" w:hAnsi="Open Sans" w:cs="Open Sans"/>
            <w:color w:val="000000"/>
            <w:sz w:val="24"/>
            <w:szCs w:val="24"/>
            <w:u w:val="single"/>
            <w:lang w:eastAsia="en-GB"/>
          </w:rPr>
          <w:t>Learn more about our Vision and Values here</w:t>
        </w:r>
      </w:hyperlink>
    </w:p>
    <w:p w14:paraId="0C4196A0" w14:textId="77777777" w:rsidR="006E6959" w:rsidRPr="006E6959" w:rsidRDefault="006E6959" w:rsidP="006E6959">
      <w:pPr>
        <w:shd w:val="clear" w:color="auto" w:fill="FFFFFF"/>
        <w:spacing w:after="360"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What our Trust will offer you:</w:t>
      </w:r>
    </w:p>
    <w:p w14:paraId="4B3C277B"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Competitive Pay Scales</w:t>
      </w:r>
    </w:p>
    <w:p w14:paraId="5DC36BBB"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lastRenderedPageBreak/>
        <w:t>Performance Related Pay</w:t>
      </w:r>
      <w:r w:rsidRPr="006E6959">
        <w:rPr>
          <w:rFonts w:ascii="Open Sans" w:eastAsia="Times New Roman" w:hAnsi="Open Sans" w:cs="Open Sans"/>
          <w:color w:val="333333"/>
          <w:sz w:val="24"/>
          <w:szCs w:val="24"/>
          <w:lang w:eastAsia="en-GB"/>
        </w:rPr>
        <w:t>: We operate a Professional Growth policy that allows us to reward staff who meet their objectives with additional pay for exceptional performance. </w:t>
      </w:r>
    </w:p>
    <w:p w14:paraId="2D08BACE"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Pension Scheme Membership:</w:t>
      </w:r>
      <w:r w:rsidRPr="006E6959">
        <w:rPr>
          <w:rFonts w:ascii="Open Sans" w:eastAsia="Times New Roman" w:hAnsi="Open Sans" w:cs="Open Sans"/>
          <w:color w:val="333333"/>
          <w:sz w:val="24"/>
          <w:szCs w:val="24"/>
          <w:lang w:eastAsia="en-GB"/>
        </w:rPr>
        <w:t> Secure your future with membership of the Local Government Pension Scheme.</w:t>
      </w:r>
    </w:p>
    <w:p w14:paraId="42F32A75"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Annual Leave</w:t>
      </w:r>
      <w:r w:rsidRPr="006E6959">
        <w:rPr>
          <w:rFonts w:ascii="Open Sans" w:eastAsia="Times New Roman" w:hAnsi="Open Sans" w:cs="Open Sans"/>
          <w:color w:val="333333"/>
          <w:sz w:val="24"/>
          <w:szCs w:val="24"/>
          <w:lang w:eastAsia="en-GB"/>
        </w:rPr>
        <w:t>: A pro-rata annual leave entitlement of 27 days for support staff, increasing to 31 after 5 years of service. </w:t>
      </w:r>
    </w:p>
    <w:p w14:paraId="05B09822"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Collaborative Support:</w:t>
      </w:r>
      <w:r w:rsidRPr="006E6959">
        <w:rPr>
          <w:rFonts w:ascii="Open Sans" w:eastAsia="Times New Roman" w:hAnsi="Open Sans" w:cs="Open Sans"/>
          <w:color w:val="333333"/>
          <w:sz w:val="24"/>
          <w:szCs w:val="24"/>
          <w:lang w:eastAsia="en-GB"/>
        </w:rPr>
        <w:t> Benefit from resources, mentoring, and school visits across the Trust.</w:t>
      </w:r>
    </w:p>
    <w:p w14:paraId="62C90AB8"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Training: </w:t>
      </w:r>
      <w:r w:rsidRPr="006E6959">
        <w:rPr>
          <w:rFonts w:ascii="Open Sans" w:eastAsia="Times New Roman" w:hAnsi="Open Sans" w:cs="Open Sans"/>
          <w:color w:val="333333"/>
          <w:sz w:val="24"/>
          <w:szCs w:val="24"/>
          <w:lang w:eastAsia="en-GB"/>
        </w:rPr>
        <w:t>Expanded your skills and knowledge with opportunities for Trust-funded apprenticeships and training courses.  </w:t>
      </w:r>
    </w:p>
    <w:p w14:paraId="55AD21CA"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Knowledge and Curriculum Sharing:</w:t>
      </w:r>
      <w:r w:rsidRPr="006E6959">
        <w:rPr>
          <w:rFonts w:ascii="Open Sans" w:eastAsia="Times New Roman" w:hAnsi="Open Sans" w:cs="Open Sans"/>
          <w:color w:val="333333"/>
          <w:sz w:val="24"/>
          <w:szCs w:val="24"/>
          <w:lang w:eastAsia="en-GB"/>
        </w:rPr>
        <w:t> Regular MAT meets alongside our regional hub model offers a network of collaboration for staff to share best practice. </w:t>
      </w:r>
    </w:p>
    <w:p w14:paraId="6DF62044"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Cycle2Work Scheme: </w:t>
      </w:r>
      <w:r w:rsidRPr="006E6959">
        <w:rPr>
          <w:rFonts w:ascii="Open Sans" w:eastAsia="Times New Roman" w:hAnsi="Open Sans" w:cs="Open Sans"/>
          <w:color w:val="333333"/>
          <w:sz w:val="24"/>
          <w:szCs w:val="24"/>
          <w:lang w:eastAsia="en-GB"/>
        </w:rPr>
        <w:t>Salary sacrifice scheme to purchase a new bike with National Insurance savings. </w:t>
      </w:r>
    </w:p>
    <w:p w14:paraId="1640C166"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Staff Wellbeing Focus</w:t>
      </w:r>
      <w:r w:rsidRPr="006E6959">
        <w:rPr>
          <w:rFonts w:ascii="Open Sans" w:eastAsia="Times New Roman" w:hAnsi="Open Sans" w:cs="Open Sans"/>
          <w:color w:val="333333"/>
          <w:sz w:val="24"/>
          <w:szCs w:val="24"/>
          <w:lang w:eastAsia="en-GB"/>
        </w:rPr>
        <w:t>: Access our 24/7 Employee Assistance Programme, free flu vaccinations, and eye care vouchers.</w:t>
      </w:r>
    </w:p>
    <w:p w14:paraId="4D4820B9"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TSTARS Staff Recognition</w:t>
      </w:r>
      <w:r w:rsidRPr="006E6959">
        <w:rPr>
          <w:rFonts w:ascii="Open Sans" w:eastAsia="Times New Roman" w:hAnsi="Open Sans" w:cs="Open Sans"/>
          <w:color w:val="333333"/>
          <w:sz w:val="24"/>
          <w:szCs w:val="24"/>
          <w:lang w:eastAsia="en-GB"/>
        </w:rPr>
        <w:t>: You will be part of our Staff Recognition Programme, with seasonal rewards for all staff.</w:t>
      </w:r>
    </w:p>
    <w:p w14:paraId="631C3BA9"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Refer a Friend</w:t>
      </w:r>
      <w:r w:rsidRPr="006E6959">
        <w:rPr>
          <w:rFonts w:ascii="Open Sans" w:eastAsia="Times New Roman" w:hAnsi="Open Sans" w:cs="Open Sans"/>
          <w:color w:val="333333"/>
          <w:sz w:val="24"/>
          <w:szCs w:val="24"/>
          <w:lang w:eastAsia="en-GB"/>
        </w:rPr>
        <w:t>: Spread the word and benefit financially from our Refer a Friend Scheme.</w:t>
      </w:r>
    </w:p>
    <w:p w14:paraId="4D29B629"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Store Discounts:</w:t>
      </w:r>
      <w:r w:rsidRPr="006E6959">
        <w:rPr>
          <w:rFonts w:ascii="Open Sans" w:eastAsia="Times New Roman" w:hAnsi="Open Sans" w:cs="Open Sans"/>
          <w:color w:val="333333"/>
          <w:sz w:val="24"/>
          <w:szCs w:val="24"/>
          <w:lang w:eastAsia="en-GB"/>
        </w:rPr>
        <w:t> Support staff have access to 'Discount for Teachers' scheme that offers a huge range of money saving deals and vouchers. </w:t>
      </w:r>
    </w:p>
    <w:p w14:paraId="543E0EB9" w14:textId="77777777" w:rsidR="006E6959" w:rsidRPr="006E6959" w:rsidRDefault="006E6959" w:rsidP="006E6959">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Blue Light Card:</w:t>
      </w:r>
      <w:r w:rsidRPr="006E6959">
        <w:rPr>
          <w:rFonts w:ascii="Open Sans" w:eastAsia="Times New Roman" w:hAnsi="Open Sans" w:cs="Open Sans"/>
          <w:color w:val="333333"/>
          <w:sz w:val="24"/>
          <w:szCs w:val="24"/>
          <w:lang w:eastAsia="en-GB"/>
        </w:rPr>
        <w:t> School staff can now access the Blue Light Card for discounts across a wide range of categories including holidays, cars, days out and much more!</w:t>
      </w:r>
    </w:p>
    <w:p w14:paraId="6BC7A226" w14:textId="77777777" w:rsidR="006E6959" w:rsidRPr="006E6959" w:rsidRDefault="006E6959" w:rsidP="006E6959">
      <w:pPr>
        <w:shd w:val="clear" w:color="auto" w:fill="FFFFFF"/>
        <w:spacing w:after="360"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Next Steps:</w:t>
      </w:r>
    </w:p>
    <w:p w14:paraId="64A48EED" w14:textId="009D2780" w:rsidR="006E6959" w:rsidRDefault="006E6959" w:rsidP="006E6959">
      <w:pPr>
        <w:shd w:val="clear" w:color="auto" w:fill="FFFFFF"/>
        <w:spacing w:after="0" w:line="240" w:lineRule="auto"/>
        <w:jc w:val="both"/>
        <w:rPr>
          <w:rFonts w:ascii="Open Sans" w:eastAsia="Times New Roman" w:hAnsi="Open Sans" w:cs="Open Sans"/>
          <w:color w:val="333333"/>
          <w:sz w:val="24"/>
          <w:szCs w:val="24"/>
          <w:shd w:val="clear" w:color="auto" w:fill="FFFFFF"/>
          <w:lang w:eastAsia="en-GB"/>
        </w:rPr>
      </w:pPr>
      <w:r w:rsidRPr="006E6959">
        <w:rPr>
          <w:rFonts w:ascii="Open Sans" w:eastAsia="Times New Roman" w:hAnsi="Open Sans" w:cs="Open Sans"/>
          <w:color w:val="333333"/>
          <w:sz w:val="24"/>
          <w:szCs w:val="24"/>
          <w:shd w:val="clear" w:color="auto" w:fill="FFFFFF"/>
          <w:lang w:eastAsia="en-GB"/>
        </w:rPr>
        <w:t>If you are interested in working in our Governance team, benefiting from a supportive network of colleagues across our Trust, and are keen to progress your career then please apply today! </w:t>
      </w:r>
    </w:p>
    <w:p w14:paraId="28010064" w14:textId="77777777" w:rsidR="00B10546" w:rsidRPr="006E6959" w:rsidRDefault="00B10546" w:rsidP="006E6959">
      <w:pPr>
        <w:shd w:val="clear" w:color="auto" w:fill="FFFFFF"/>
        <w:spacing w:after="0" w:line="240" w:lineRule="auto"/>
        <w:jc w:val="both"/>
        <w:rPr>
          <w:rFonts w:ascii="Open Sans" w:eastAsia="Times New Roman" w:hAnsi="Open Sans" w:cs="Open Sans"/>
          <w:color w:val="333333"/>
          <w:sz w:val="24"/>
          <w:szCs w:val="24"/>
          <w:lang w:eastAsia="en-GB"/>
        </w:rPr>
      </w:pPr>
    </w:p>
    <w:p w14:paraId="180C1582" w14:textId="77777777" w:rsidR="006E6959" w:rsidRPr="006E6959" w:rsidRDefault="006E6959" w:rsidP="006E6959">
      <w:pPr>
        <w:shd w:val="clear" w:color="auto" w:fill="FFFFFF"/>
        <w:spacing w:after="360"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Early applications are encouraged and we reserve the right to close the vacancy if a suitable candidate is found.</w:t>
      </w:r>
      <w:r w:rsidRPr="006E6959">
        <w:rPr>
          <w:rFonts w:ascii="Open Sans" w:eastAsia="Times New Roman" w:hAnsi="Open Sans" w:cs="Open Sans"/>
          <w:color w:val="333333"/>
          <w:sz w:val="24"/>
          <w:szCs w:val="24"/>
          <w:lang w:eastAsia="en-GB"/>
        </w:rPr>
        <w:t> </w:t>
      </w:r>
    </w:p>
    <w:p w14:paraId="22A1D5EC" w14:textId="77777777" w:rsidR="006E6959" w:rsidRPr="006E6959" w:rsidRDefault="006E6959" w:rsidP="006E6959">
      <w:pPr>
        <w:shd w:val="clear" w:color="auto" w:fill="FFFFFF"/>
        <w:spacing w:after="360"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color w:val="333333"/>
          <w:sz w:val="24"/>
          <w:szCs w:val="24"/>
          <w:lang w:eastAsia="en-GB"/>
        </w:rPr>
        <w:t>To arrange an informal conversation please contact: recruitment@tsatrust.org.uk</w:t>
      </w:r>
    </w:p>
    <w:p w14:paraId="35989354" w14:textId="77777777" w:rsidR="006E6959" w:rsidRPr="006E6959" w:rsidRDefault="006E6959" w:rsidP="006E6959">
      <w:pPr>
        <w:shd w:val="clear" w:color="auto" w:fill="FFFFFF"/>
        <w:spacing w:after="360" w:line="240" w:lineRule="auto"/>
        <w:jc w:val="both"/>
        <w:rPr>
          <w:rFonts w:ascii="Open Sans" w:eastAsia="Times New Roman" w:hAnsi="Open Sans" w:cs="Open Sans"/>
          <w:color w:val="333333"/>
          <w:sz w:val="24"/>
          <w:szCs w:val="24"/>
          <w:lang w:eastAsia="en-GB"/>
        </w:rPr>
      </w:pPr>
      <w:r w:rsidRPr="006E6959">
        <w:rPr>
          <w:rFonts w:ascii="Open Sans" w:eastAsia="Times New Roman" w:hAnsi="Open Sans" w:cs="Open Sans"/>
          <w:b/>
          <w:bCs/>
          <w:color w:val="333333"/>
          <w:sz w:val="24"/>
          <w:szCs w:val="24"/>
          <w:lang w:eastAsia="en-GB"/>
        </w:rPr>
        <w:t xml:space="preserve">We are committed to safeguarding and promoting the welfare of children and young people and expect all staff and volunteers to share this commitment. This post is subject to an enhanced DBS check. As per KCSIE </w:t>
      </w:r>
      <w:r w:rsidRPr="006E6959">
        <w:rPr>
          <w:rFonts w:ascii="Open Sans" w:eastAsia="Times New Roman" w:hAnsi="Open Sans" w:cs="Open Sans"/>
          <w:b/>
          <w:bCs/>
          <w:color w:val="333333"/>
          <w:sz w:val="24"/>
          <w:szCs w:val="24"/>
          <w:lang w:eastAsia="en-GB"/>
        </w:rPr>
        <w:lastRenderedPageBreak/>
        <w:t xml:space="preserve">we will also undertake online searches for all shortlisted candidates, if you have any questions regarding this </w:t>
      </w:r>
      <w:proofErr w:type="gramStart"/>
      <w:r w:rsidRPr="006E6959">
        <w:rPr>
          <w:rFonts w:ascii="Open Sans" w:eastAsia="Times New Roman" w:hAnsi="Open Sans" w:cs="Open Sans"/>
          <w:b/>
          <w:bCs/>
          <w:color w:val="333333"/>
          <w:sz w:val="24"/>
          <w:szCs w:val="24"/>
          <w:lang w:eastAsia="en-GB"/>
        </w:rPr>
        <w:t>process</w:t>
      </w:r>
      <w:proofErr w:type="gramEnd"/>
      <w:r w:rsidRPr="006E6959">
        <w:rPr>
          <w:rFonts w:ascii="Open Sans" w:eastAsia="Times New Roman" w:hAnsi="Open Sans" w:cs="Open Sans"/>
          <w:b/>
          <w:bCs/>
          <w:color w:val="333333"/>
          <w:sz w:val="24"/>
          <w:szCs w:val="24"/>
          <w:lang w:eastAsia="en-GB"/>
        </w:rPr>
        <w:t xml:space="preserve"> please email </w:t>
      </w:r>
      <w:r w:rsidRPr="00D14EB7">
        <w:rPr>
          <w:rFonts w:ascii="Open Sans" w:eastAsia="Times New Roman" w:hAnsi="Open Sans" w:cs="Open Sans"/>
          <w:b/>
          <w:bCs/>
          <w:color w:val="4472C4" w:themeColor="accent1"/>
          <w:sz w:val="24"/>
          <w:szCs w:val="24"/>
          <w:lang w:eastAsia="en-GB"/>
        </w:rPr>
        <w:t>recruitment@tsatrust.org.uk</w:t>
      </w:r>
    </w:p>
    <w:p w14:paraId="77B8A5A4" w14:textId="77777777" w:rsidR="00345328" w:rsidRDefault="00345328"/>
    <w:sectPr w:rsidR="00345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82A6C"/>
    <w:multiLevelType w:val="multilevel"/>
    <w:tmpl w:val="4DC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64731A"/>
    <w:multiLevelType w:val="multilevel"/>
    <w:tmpl w:val="1AC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663095">
    <w:abstractNumId w:val="0"/>
  </w:num>
  <w:num w:numId="2" w16cid:durableId="1631982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59"/>
    <w:rsid w:val="002C3FA2"/>
    <w:rsid w:val="00345328"/>
    <w:rsid w:val="004639B1"/>
    <w:rsid w:val="006E6959"/>
    <w:rsid w:val="00B10546"/>
    <w:rsid w:val="00D14EB7"/>
    <w:rsid w:val="00D20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9C20"/>
  <w15:chartTrackingRefBased/>
  <w15:docId w15:val="{5C5F86C1-F36A-4B49-ABDA-4AA629E6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3FA2"/>
    <w:rPr>
      <w:b/>
      <w:bCs/>
    </w:rPr>
  </w:style>
  <w:style w:type="character" w:styleId="Hyperlink">
    <w:name w:val="Hyperlink"/>
    <w:basedOn w:val="DefaultParagraphFont"/>
    <w:uiPriority w:val="99"/>
    <w:semiHidden/>
    <w:unhideWhenUsed/>
    <w:rsid w:val="002C3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799780">
      <w:bodyDiv w:val="1"/>
      <w:marLeft w:val="0"/>
      <w:marRight w:val="0"/>
      <w:marTop w:val="0"/>
      <w:marBottom w:val="0"/>
      <w:divBdr>
        <w:top w:val="none" w:sz="0" w:space="0" w:color="auto"/>
        <w:left w:val="none" w:sz="0" w:space="0" w:color="auto"/>
        <w:bottom w:val="none" w:sz="0" w:space="0" w:color="auto"/>
        <w:right w:val="none" w:sz="0" w:space="0" w:color="auto"/>
      </w:divBdr>
      <w:divsChild>
        <w:div w:id="489954330">
          <w:marLeft w:val="0"/>
          <w:marRight w:val="0"/>
          <w:marTop w:val="0"/>
          <w:marBottom w:val="0"/>
          <w:divBdr>
            <w:top w:val="none" w:sz="0" w:space="0" w:color="auto"/>
            <w:left w:val="none" w:sz="0" w:space="0" w:color="auto"/>
            <w:bottom w:val="none" w:sz="0" w:space="0" w:color="auto"/>
            <w:right w:val="none" w:sz="0" w:space="0" w:color="auto"/>
          </w:divBdr>
          <w:divsChild>
            <w:div w:id="987055169">
              <w:marLeft w:val="0"/>
              <w:marRight w:val="0"/>
              <w:marTop w:val="0"/>
              <w:marBottom w:val="0"/>
              <w:divBdr>
                <w:top w:val="none" w:sz="0" w:space="0" w:color="auto"/>
                <w:left w:val="none" w:sz="0" w:space="0" w:color="auto"/>
                <w:bottom w:val="none" w:sz="0" w:space="0" w:color="auto"/>
                <w:right w:val="none" w:sz="0" w:space="0" w:color="auto"/>
              </w:divBdr>
              <w:divsChild>
                <w:div w:id="414017898">
                  <w:marLeft w:val="0"/>
                  <w:marRight w:val="0"/>
                  <w:marTop w:val="0"/>
                  <w:marBottom w:val="0"/>
                  <w:divBdr>
                    <w:top w:val="none" w:sz="0" w:space="0" w:color="auto"/>
                    <w:left w:val="none" w:sz="0" w:space="0" w:color="auto"/>
                    <w:bottom w:val="none" w:sz="0" w:space="0" w:color="auto"/>
                    <w:right w:val="none" w:sz="0" w:space="0" w:color="auto"/>
                  </w:divBdr>
                  <w:divsChild>
                    <w:div w:id="1718163308">
                      <w:marLeft w:val="0"/>
                      <w:marRight w:val="0"/>
                      <w:marTop w:val="0"/>
                      <w:marBottom w:val="0"/>
                      <w:divBdr>
                        <w:top w:val="none" w:sz="0" w:space="0" w:color="auto"/>
                        <w:left w:val="none" w:sz="0" w:space="0" w:color="auto"/>
                        <w:bottom w:val="none" w:sz="0" w:space="0" w:color="auto"/>
                        <w:right w:val="none" w:sz="0" w:space="0" w:color="auto"/>
                      </w:divBdr>
                      <w:divsChild>
                        <w:div w:id="1627391186">
                          <w:marLeft w:val="0"/>
                          <w:marRight w:val="0"/>
                          <w:marTop w:val="0"/>
                          <w:marBottom w:val="0"/>
                          <w:divBdr>
                            <w:top w:val="none" w:sz="0" w:space="0" w:color="auto"/>
                            <w:left w:val="none" w:sz="0" w:space="0" w:color="auto"/>
                            <w:bottom w:val="none" w:sz="0" w:space="0" w:color="auto"/>
                            <w:right w:val="none" w:sz="0" w:space="0" w:color="auto"/>
                          </w:divBdr>
                        </w:div>
                        <w:div w:id="2077822239">
                          <w:marLeft w:val="0"/>
                          <w:marRight w:val="0"/>
                          <w:marTop w:val="0"/>
                          <w:marBottom w:val="0"/>
                          <w:divBdr>
                            <w:top w:val="none" w:sz="0" w:space="0" w:color="auto"/>
                            <w:left w:val="none" w:sz="0" w:space="0" w:color="auto"/>
                            <w:bottom w:val="none" w:sz="0" w:space="0" w:color="auto"/>
                            <w:right w:val="none" w:sz="0" w:space="0" w:color="auto"/>
                          </w:divBdr>
                        </w:div>
                        <w:div w:id="1997221418">
                          <w:marLeft w:val="0"/>
                          <w:marRight w:val="0"/>
                          <w:marTop w:val="0"/>
                          <w:marBottom w:val="0"/>
                          <w:divBdr>
                            <w:top w:val="none" w:sz="0" w:space="0" w:color="auto"/>
                            <w:left w:val="none" w:sz="0" w:space="0" w:color="auto"/>
                            <w:bottom w:val="none" w:sz="0" w:space="0" w:color="auto"/>
                            <w:right w:val="none" w:sz="0" w:space="0" w:color="auto"/>
                          </w:divBdr>
                        </w:div>
                        <w:div w:id="578752019">
                          <w:marLeft w:val="0"/>
                          <w:marRight w:val="0"/>
                          <w:marTop w:val="0"/>
                          <w:marBottom w:val="0"/>
                          <w:divBdr>
                            <w:top w:val="none" w:sz="0" w:space="0" w:color="auto"/>
                            <w:left w:val="none" w:sz="0" w:space="0" w:color="auto"/>
                            <w:bottom w:val="none" w:sz="0" w:space="0" w:color="auto"/>
                            <w:right w:val="none" w:sz="0" w:space="0" w:color="auto"/>
                          </w:divBdr>
                        </w:div>
                        <w:div w:id="1913196947">
                          <w:marLeft w:val="0"/>
                          <w:marRight w:val="0"/>
                          <w:marTop w:val="0"/>
                          <w:marBottom w:val="0"/>
                          <w:divBdr>
                            <w:top w:val="none" w:sz="0" w:space="0" w:color="auto"/>
                            <w:left w:val="none" w:sz="0" w:space="0" w:color="auto"/>
                            <w:bottom w:val="none" w:sz="0" w:space="0" w:color="auto"/>
                            <w:right w:val="none" w:sz="0" w:space="0" w:color="auto"/>
                          </w:divBdr>
                        </w:div>
                        <w:div w:id="1221134479">
                          <w:marLeft w:val="0"/>
                          <w:marRight w:val="0"/>
                          <w:marTop w:val="0"/>
                          <w:marBottom w:val="0"/>
                          <w:divBdr>
                            <w:top w:val="none" w:sz="0" w:space="0" w:color="auto"/>
                            <w:left w:val="none" w:sz="0" w:space="0" w:color="auto"/>
                            <w:bottom w:val="none" w:sz="0" w:space="0" w:color="auto"/>
                            <w:right w:val="none" w:sz="0" w:space="0" w:color="auto"/>
                          </w:divBdr>
                        </w:div>
                        <w:div w:id="829635459">
                          <w:marLeft w:val="0"/>
                          <w:marRight w:val="0"/>
                          <w:marTop w:val="0"/>
                          <w:marBottom w:val="0"/>
                          <w:divBdr>
                            <w:top w:val="none" w:sz="0" w:space="0" w:color="auto"/>
                            <w:left w:val="none" w:sz="0" w:space="0" w:color="auto"/>
                            <w:bottom w:val="none" w:sz="0" w:space="0" w:color="auto"/>
                            <w:right w:val="none" w:sz="0" w:space="0" w:color="auto"/>
                          </w:divBdr>
                          <w:divsChild>
                            <w:div w:id="925529804">
                              <w:marLeft w:val="0"/>
                              <w:marRight w:val="0"/>
                              <w:marTop w:val="0"/>
                              <w:marBottom w:val="0"/>
                              <w:divBdr>
                                <w:top w:val="none" w:sz="0" w:space="0" w:color="auto"/>
                                <w:left w:val="none" w:sz="0" w:space="0" w:color="auto"/>
                                <w:bottom w:val="none" w:sz="0" w:space="0" w:color="auto"/>
                                <w:right w:val="none" w:sz="0" w:space="0" w:color="auto"/>
                              </w:divBdr>
                            </w:div>
                            <w:div w:id="685517898">
                              <w:marLeft w:val="0"/>
                              <w:marRight w:val="0"/>
                              <w:marTop w:val="0"/>
                              <w:marBottom w:val="0"/>
                              <w:divBdr>
                                <w:top w:val="none" w:sz="0" w:space="0" w:color="auto"/>
                                <w:left w:val="none" w:sz="0" w:space="0" w:color="auto"/>
                                <w:bottom w:val="none" w:sz="0" w:space="0" w:color="auto"/>
                                <w:right w:val="none" w:sz="0" w:space="0" w:color="auto"/>
                              </w:divBdr>
                            </w:div>
                          </w:divsChild>
                        </w:div>
                        <w:div w:id="9101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30900">
          <w:marLeft w:val="0"/>
          <w:marRight w:val="0"/>
          <w:marTop w:val="0"/>
          <w:marBottom w:val="0"/>
          <w:divBdr>
            <w:top w:val="none" w:sz="0" w:space="0" w:color="auto"/>
            <w:left w:val="none" w:sz="0" w:space="0" w:color="auto"/>
            <w:bottom w:val="none" w:sz="0" w:space="0" w:color="auto"/>
            <w:right w:val="none" w:sz="0" w:space="0" w:color="auto"/>
          </w:divBdr>
          <w:divsChild>
            <w:div w:id="1851140992">
              <w:marLeft w:val="0"/>
              <w:marRight w:val="0"/>
              <w:marTop w:val="0"/>
              <w:marBottom w:val="0"/>
              <w:divBdr>
                <w:top w:val="none" w:sz="0" w:space="0" w:color="auto"/>
                <w:left w:val="none" w:sz="0" w:space="0" w:color="auto"/>
                <w:bottom w:val="none" w:sz="0" w:space="0" w:color="auto"/>
                <w:right w:val="none" w:sz="0" w:space="0" w:color="auto"/>
              </w:divBdr>
              <w:divsChild>
                <w:div w:id="4838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11317">
          <w:marLeft w:val="0"/>
          <w:marRight w:val="0"/>
          <w:marTop w:val="0"/>
          <w:marBottom w:val="0"/>
          <w:divBdr>
            <w:top w:val="none" w:sz="0" w:space="0" w:color="auto"/>
            <w:left w:val="none" w:sz="0" w:space="0" w:color="auto"/>
            <w:bottom w:val="none" w:sz="0" w:space="0" w:color="auto"/>
            <w:right w:val="none" w:sz="0" w:space="0" w:color="auto"/>
          </w:divBdr>
          <w:divsChild>
            <w:div w:id="1773739319">
              <w:marLeft w:val="0"/>
              <w:marRight w:val="0"/>
              <w:marTop w:val="0"/>
              <w:marBottom w:val="0"/>
              <w:divBdr>
                <w:top w:val="none" w:sz="0" w:space="0" w:color="auto"/>
                <w:left w:val="none" w:sz="0" w:space="0" w:color="auto"/>
                <w:bottom w:val="none" w:sz="0" w:space="0" w:color="auto"/>
                <w:right w:val="none" w:sz="0" w:space="0" w:color="auto"/>
              </w:divBdr>
              <w:divsChild>
                <w:div w:id="1189031558">
                  <w:marLeft w:val="0"/>
                  <w:marRight w:val="0"/>
                  <w:marTop w:val="0"/>
                  <w:marBottom w:val="0"/>
                  <w:divBdr>
                    <w:top w:val="none" w:sz="0" w:space="0" w:color="auto"/>
                    <w:left w:val="none" w:sz="0" w:space="0" w:color="auto"/>
                    <w:bottom w:val="none" w:sz="0" w:space="0" w:color="auto"/>
                    <w:right w:val="none" w:sz="0" w:space="0" w:color="auto"/>
                  </w:divBdr>
                  <w:divsChild>
                    <w:div w:id="376512292">
                      <w:marLeft w:val="0"/>
                      <w:marRight w:val="0"/>
                      <w:marTop w:val="0"/>
                      <w:marBottom w:val="0"/>
                      <w:divBdr>
                        <w:top w:val="none" w:sz="0" w:space="0" w:color="auto"/>
                        <w:left w:val="none" w:sz="0" w:space="0" w:color="auto"/>
                        <w:bottom w:val="none" w:sz="0" w:space="0" w:color="auto"/>
                        <w:right w:val="none" w:sz="0" w:space="0" w:color="auto"/>
                      </w:divBdr>
                      <w:divsChild>
                        <w:div w:id="1161653790">
                          <w:marLeft w:val="0"/>
                          <w:marRight w:val="0"/>
                          <w:marTop w:val="0"/>
                          <w:marBottom w:val="0"/>
                          <w:divBdr>
                            <w:top w:val="none" w:sz="0" w:space="0" w:color="auto"/>
                            <w:left w:val="none" w:sz="0" w:space="0" w:color="auto"/>
                            <w:bottom w:val="none" w:sz="0" w:space="0" w:color="auto"/>
                            <w:right w:val="none" w:sz="0" w:space="0" w:color="auto"/>
                          </w:divBdr>
                          <w:divsChild>
                            <w:div w:id="1705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satrust.org.uk/vision-and-values/" TargetMode="External"/><Relationship Id="rId5" Type="http://schemas.openxmlformats.org/officeDocument/2006/relationships/hyperlink" Target="https://tsatweb.eploy.net/vacancies/1085/deputy-head-of-governance--portsmouth-or-k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Chalmers, Hannah (TSAT)</dc:creator>
  <cp:keywords/>
  <dc:description/>
  <cp:lastModifiedBy>Amy Wright</cp:lastModifiedBy>
  <cp:revision>2</cp:revision>
  <dcterms:created xsi:type="dcterms:W3CDTF">2025-05-20T11:39:00Z</dcterms:created>
  <dcterms:modified xsi:type="dcterms:W3CDTF">2025-05-20T11:39:00Z</dcterms:modified>
</cp:coreProperties>
</file>