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1AC" w14:textId="67DD7A55" w:rsidR="007844A9" w:rsidRDefault="006A20C9" w:rsidP="007844A9">
      <w:pPr>
        <w:pStyle w:val="Heading1"/>
      </w:pPr>
      <w:r>
        <w:t>Governance professional role description template</w:t>
      </w:r>
    </w:p>
    <w:p w14:paraId="3576DC63" w14:textId="00E95EF0" w:rsidR="006A20C9" w:rsidRPr="0050134F" w:rsidRDefault="0050134F" w:rsidP="0050134F">
      <w:pPr>
        <w:pStyle w:val="Heading2"/>
        <w:rPr>
          <w:rStyle w:val="BoldemphasisChar"/>
          <w:rFonts w:eastAsiaTheme="majorEastAsia" w:cstheme="majorBidi"/>
          <w:b/>
          <w:bCs w:val="0"/>
          <w:sz w:val="32"/>
          <w:szCs w:val="26"/>
        </w:rPr>
      </w:pPr>
      <w:r w:rsidRPr="0050134F">
        <w:rPr>
          <w:rStyle w:val="BoldemphasisChar"/>
          <w:rFonts w:eastAsiaTheme="majorEastAsia" w:cstheme="majorBidi"/>
          <w:b/>
          <w:bCs w:val="0"/>
          <w:sz w:val="32"/>
          <w:szCs w:val="26"/>
        </w:rPr>
        <w:t xml:space="preserve">For </w:t>
      </w:r>
      <w:r w:rsidR="006A20C9" w:rsidRPr="0050134F">
        <w:rPr>
          <w:rStyle w:val="BoldemphasisChar"/>
          <w:rFonts w:eastAsiaTheme="majorEastAsia" w:cstheme="majorBidi"/>
          <w:b/>
          <w:bCs w:val="0"/>
          <w:sz w:val="32"/>
          <w:szCs w:val="26"/>
        </w:rPr>
        <w:t>clerking level roles</w:t>
      </w:r>
    </w:p>
    <w:p w14:paraId="420C91E0" w14:textId="4FB09E51" w:rsidR="0081594E" w:rsidRDefault="0050134F" w:rsidP="0050134F">
      <w:pPr>
        <w:pStyle w:val="Heading3"/>
        <w:spacing w:before="240"/>
      </w:pPr>
      <w:r>
        <w:t>How to use the template</w:t>
      </w:r>
    </w:p>
    <w:p w14:paraId="3C4D387E" w14:textId="2D58C865" w:rsidR="006A20C9" w:rsidRPr="006A20C9" w:rsidRDefault="006A20C9" w:rsidP="006A20C9">
      <w:pPr>
        <w:pStyle w:val="MainText"/>
      </w:pPr>
      <w:r w:rsidRPr="006A20C9">
        <w:t>Th</w:t>
      </w:r>
      <w:r w:rsidR="002779DD">
        <w:t>e following</w:t>
      </w:r>
      <w:r w:rsidRPr="006A20C9">
        <w:t xml:space="preserve"> template role description refers to the main professional and individual requirements for those working as governance professionals in schools and trusts at clerking level. Roles at this level include:</w:t>
      </w:r>
    </w:p>
    <w:p w14:paraId="797D067F" w14:textId="77777777" w:rsidR="006A20C9" w:rsidRPr="006A20C9" w:rsidRDefault="006A20C9" w:rsidP="00A929A1">
      <w:pPr>
        <w:pStyle w:val="Bullettext"/>
        <w:spacing w:after="80"/>
      </w:pPr>
      <w:r w:rsidRPr="006A20C9">
        <w:t>clerk to a governing board at a school or academy</w:t>
      </w:r>
    </w:p>
    <w:p w14:paraId="4C6F3657" w14:textId="77777777" w:rsidR="006A20C9" w:rsidRPr="006A20C9" w:rsidRDefault="006A20C9" w:rsidP="00A929A1">
      <w:pPr>
        <w:pStyle w:val="Bullettext"/>
        <w:spacing w:after="80"/>
      </w:pPr>
      <w:r w:rsidRPr="006A20C9">
        <w:t>clerk to the board of trustees at a multi academy trust</w:t>
      </w:r>
    </w:p>
    <w:p w14:paraId="6184795A" w14:textId="6FF742B1" w:rsidR="006A20C9" w:rsidRPr="006A20C9" w:rsidRDefault="006A20C9" w:rsidP="00A929A1">
      <w:pPr>
        <w:pStyle w:val="MainText"/>
        <w:spacing w:before="120"/>
      </w:pPr>
      <w:r w:rsidRPr="006A20C9">
        <w:t>Roles at this level can either be employed directly by schools, academies, multi academy trusts or by a commercial service provider and deployed to work at different schools. A significant proportion of those working at this level are self-employed service providers operating under a service level agreement (SLA).</w:t>
      </w:r>
    </w:p>
    <w:p w14:paraId="3230520E" w14:textId="6B378EE4" w:rsidR="006A20C9" w:rsidRPr="006A20C9" w:rsidRDefault="006A20C9" w:rsidP="00222D62">
      <w:pPr>
        <w:pStyle w:val="MainText"/>
        <w:shd w:val="clear" w:color="auto" w:fill="D9E2F3" w:themeFill="accent1" w:themeFillTint="33"/>
        <w:spacing w:after="120"/>
      </w:pPr>
      <w:r w:rsidRPr="004E3534">
        <w:rPr>
          <w:rStyle w:val="BoldemphasisChar"/>
        </w:rPr>
        <w:t>Th</w:t>
      </w:r>
      <w:r w:rsidR="002779DD">
        <w:rPr>
          <w:rStyle w:val="BoldemphasisChar"/>
        </w:rPr>
        <w:t>e</w:t>
      </w:r>
      <w:r w:rsidRPr="004E3534">
        <w:rPr>
          <w:rStyle w:val="BoldemphasisChar"/>
        </w:rPr>
        <w:t xml:space="preserve"> template is not designed to serve as a model role description or SLA. It should be adapted to reflect specific circumstances, including but not limited to:</w:t>
      </w:r>
    </w:p>
    <w:p w14:paraId="02C8AD32" w14:textId="18709EA2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the breadth and depth of governance professional support required for the scale and complexity of the organisation</w:t>
      </w:r>
    </w:p>
    <w:p w14:paraId="67A8FCED" w14:textId="208D5E7A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the governing structure including schemes of delegation</w:t>
      </w:r>
    </w:p>
    <w:p w14:paraId="58FBFEEB" w14:textId="22D909D2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the administrative and procedural requirements of the governing board</w:t>
      </w:r>
    </w:p>
    <w:p w14:paraId="566F60A6" w14:textId="40C2B85B" w:rsidR="006A20C9" w:rsidRPr="006A20C9" w:rsidRDefault="006A20C9" w:rsidP="004E2B9C">
      <w:pPr>
        <w:pStyle w:val="Bullettext"/>
        <w:shd w:val="clear" w:color="auto" w:fill="D9E2F3" w:themeFill="accent1" w:themeFillTint="33"/>
      </w:pPr>
      <w:r w:rsidRPr="006A20C9">
        <w:t>alignment with other central support roles and especially those supporting governance</w:t>
      </w:r>
    </w:p>
    <w:p w14:paraId="09DBB3FF" w14:textId="092755CD" w:rsidR="006A20C9" w:rsidRPr="005A16EB" w:rsidRDefault="006A20C9" w:rsidP="004E2B9C">
      <w:pPr>
        <w:pStyle w:val="Bullettext"/>
        <w:shd w:val="clear" w:color="auto" w:fill="D9E2F3" w:themeFill="accent1" w:themeFillTint="33"/>
        <w:rPr>
          <w:rFonts w:cstheme="minorHAnsi"/>
          <w:lang w:val="en-US"/>
        </w:rPr>
      </w:pPr>
      <w:r w:rsidRPr="006A20C9">
        <w:t xml:space="preserve">role descriptions and pay structure </w:t>
      </w:r>
      <w:r w:rsidR="00A523F7">
        <w:t xml:space="preserve">of </w:t>
      </w:r>
      <w:r w:rsidRPr="006A20C9">
        <w:t>other staff who provide a similar level of professional and skilled service</w:t>
      </w:r>
      <w:r w:rsidRPr="005A16EB">
        <w:rPr>
          <w:rFonts w:cstheme="minorHAnsi"/>
          <w:lang w:val="en-US"/>
        </w:rPr>
        <w:t xml:space="preserve"> </w:t>
      </w:r>
    </w:p>
    <w:p w14:paraId="4C95027F" w14:textId="77777777" w:rsidR="006A20C9" w:rsidRPr="006A20C9" w:rsidRDefault="006A20C9" w:rsidP="0081594E">
      <w:pPr>
        <w:pStyle w:val="MainText"/>
        <w:spacing w:before="200" w:after="120"/>
      </w:pPr>
      <w:r w:rsidRPr="006A20C9">
        <w:t xml:space="preserve">Before adapting the </w:t>
      </w:r>
      <w:r w:rsidRPr="006A20C9">
        <w:rPr>
          <w:rFonts w:cstheme="minorHAnsi"/>
        </w:rPr>
        <w:t>template</w:t>
      </w:r>
      <w:r w:rsidRPr="006A20C9">
        <w:t xml:space="preserve"> role description, we recommend that you refer to:</w:t>
      </w:r>
    </w:p>
    <w:p w14:paraId="0B8D9935" w14:textId="03A1C5F1" w:rsidR="006A20C9" w:rsidRPr="006A20C9" w:rsidRDefault="00F4756D" w:rsidP="006A20C9">
      <w:pPr>
        <w:pStyle w:val="Bullettext"/>
      </w:pPr>
      <w:r>
        <w:t>the g</w:t>
      </w:r>
      <w:r w:rsidR="006A20C9" w:rsidRPr="000311BE">
        <w:t>overnance professional career pathway</w:t>
      </w:r>
      <w:r w:rsidR="006A20C9" w:rsidRPr="006A20C9">
        <w:t xml:space="preserve">: </w:t>
      </w:r>
      <w:hyperlink r:id="rId10" w:history="1">
        <w:r w:rsidR="009F30EC" w:rsidRPr="00CD2964">
          <w:rPr>
            <w:rStyle w:val="Hyperlink"/>
          </w:rPr>
          <w:t>c</w:t>
        </w:r>
        <w:r w:rsidR="006A20C9" w:rsidRPr="00CD2964">
          <w:rPr>
            <w:rStyle w:val="Hyperlink"/>
          </w:rPr>
          <w:t>lerk</w:t>
        </w:r>
        <w:r w:rsidR="00163B1F" w:rsidRPr="00CD2964">
          <w:rPr>
            <w:rStyle w:val="Hyperlink"/>
          </w:rPr>
          <w:t xml:space="preserve">ing </w:t>
        </w:r>
        <w:r w:rsidR="006A20C9" w:rsidRPr="00CD2964">
          <w:rPr>
            <w:rStyle w:val="Hyperlink"/>
          </w:rPr>
          <w:t>level</w:t>
        </w:r>
      </w:hyperlink>
    </w:p>
    <w:p w14:paraId="51EB7549" w14:textId="5F08CB5E" w:rsidR="0081594E" w:rsidRDefault="00F4756D" w:rsidP="006A20C9">
      <w:pPr>
        <w:pStyle w:val="Bullettext"/>
      </w:pPr>
      <w:r>
        <w:t>t</w:t>
      </w:r>
      <w:r w:rsidR="006A20C9" w:rsidRPr="006A20C9">
        <w:t>he </w:t>
      </w:r>
      <w:hyperlink r:id="rId11" w:history="1">
        <w:r w:rsidR="006A20C9" w:rsidRPr="00803D01">
          <w:rPr>
            <w:rStyle w:val="Hyperlink"/>
          </w:rPr>
          <w:t>competency framework</w:t>
        </w:r>
      </w:hyperlink>
      <w:r w:rsidR="006A20C9" w:rsidRPr="00803D01">
        <w:rPr>
          <w:rStyle w:val="Hyperlink"/>
        </w:rPr>
        <w:t> </w:t>
      </w:r>
      <w:r w:rsidR="006A20C9" w:rsidRPr="006A20C9">
        <w:t>published by the Department for Education (DfE) for school governance professionals</w:t>
      </w:r>
    </w:p>
    <w:p w14:paraId="3CBA5BB6" w14:textId="31D191D6" w:rsidR="006A20C9" w:rsidRPr="0081594E" w:rsidRDefault="00F4756D" w:rsidP="006A20C9">
      <w:pPr>
        <w:pStyle w:val="Bullettext"/>
        <w:rPr>
          <w:rStyle w:val="BoldemphasisChar"/>
          <w:rFonts w:cs="Arial"/>
          <w:b w:val="0"/>
          <w:bCs w:val="0"/>
          <w:color w:val="000000" w:themeColor="text1"/>
        </w:rPr>
      </w:pPr>
      <w:r>
        <w:t>t</w:t>
      </w:r>
      <w:r w:rsidR="006A20C9" w:rsidRPr="006A20C9">
        <w:t>he </w:t>
      </w:r>
      <w:hyperlink r:id="rId12" w:history="1">
        <w:r w:rsidR="006A20C9" w:rsidRPr="006A20C9">
          <w:rPr>
            <w:rStyle w:val="Hyperlink"/>
          </w:rPr>
          <w:t>competency framework</w:t>
        </w:r>
      </w:hyperlink>
      <w:r w:rsidR="006A20C9" w:rsidRPr="006A20C9">
        <w:t> published by the Chartered Governance Institute for company secretaries and governance professionals</w:t>
      </w:r>
    </w:p>
    <w:p w14:paraId="74CCC41F" w14:textId="77777777" w:rsidR="006A20C9" w:rsidRDefault="006A20C9">
      <w:pPr>
        <w:spacing w:after="160" w:line="259" w:lineRule="auto"/>
        <w:rPr>
          <w:rStyle w:val="BoldemphasisChar"/>
        </w:rPr>
      </w:pPr>
      <w:r>
        <w:rPr>
          <w:rStyle w:val="BoldemphasisChar"/>
        </w:rPr>
        <w:br w:type="page"/>
      </w:r>
    </w:p>
    <w:p w14:paraId="3EF4AAFF" w14:textId="77777777" w:rsidR="00C24B7C" w:rsidRDefault="00C24B7C" w:rsidP="00C24B7C">
      <w:pPr>
        <w:pStyle w:val="Heading2"/>
        <w:jc w:val="center"/>
      </w:pPr>
      <w:r>
        <w:lastRenderedPageBreak/>
        <w:t>Governance professional role description template</w:t>
      </w:r>
    </w:p>
    <w:tbl>
      <w:tblPr>
        <w:tblStyle w:val="TableGrid"/>
        <w:tblpPr w:leftFromText="180" w:rightFromText="180" w:vertAnchor="page" w:horzAnchor="margin" w:tblpY="290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24B7C" w:rsidRPr="005A16EB" w14:paraId="6DFFB3CD" w14:textId="77777777" w:rsidTr="00DF6CAB">
        <w:tc>
          <w:tcPr>
            <w:tcW w:w="9351" w:type="dxa"/>
          </w:tcPr>
          <w:p w14:paraId="7EC53142" w14:textId="77777777" w:rsidR="00C24B7C" w:rsidRPr="001F3023" w:rsidRDefault="00C24B7C" w:rsidP="00C24B7C">
            <w:pPr>
              <w:pStyle w:val="Heading3"/>
              <w:spacing w:before="0"/>
              <w:outlineLvl w:val="2"/>
              <w:rPr>
                <w:szCs w:val="28"/>
              </w:rPr>
            </w:pPr>
            <w:r w:rsidRPr="001F3023">
              <w:rPr>
                <w:szCs w:val="28"/>
              </w:rPr>
              <w:t>Role purpose</w:t>
            </w:r>
          </w:p>
        </w:tc>
      </w:tr>
      <w:tr w:rsidR="00C24B7C" w:rsidRPr="005A16EB" w14:paraId="245DD9FC" w14:textId="77777777" w:rsidTr="00DF6CAB">
        <w:tc>
          <w:tcPr>
            <w:tcW w:w="9351" w:type="dxa"/>
          </w:tcPr>
          <w:p w14:paraId="05A19F03" w14:textId="77777777" w:rsidR="00C24B7C" w:rsidRPr="00794A7C" w:rsidRDefault="00C24B7C" w:rsidP="00C24B7C">
            <w:pPr>
              <w:pStyle w:val="ListParagraph"/>
              <w:ind w:left="0"/>
              <w:jc w:val="both"/>
              <w:rPr>
                <w:rFonts w:cstheme="minorHAnsi"/>
                <w:i/>
                <w:iCs/>
              </w:rPr>
            </w:pPr>
            <w:r w:rsidRPr="00DF6CAB">
              <w:rPr>
                <w:sz w:val="22"/>
                <w:szCs w:val="20"/>
              </w:rPr>
              <w:t>To contribute towards the efficient and effective functioning of a governing board and its committees.</w:t>
            </w:r>
          </w:p>
        </w:tc>
      </w:tr>
    </w:tbl>
    <w:p w14:paraId="4B50D998" w14:textId="49D641F5" w:rsidR="00C24B7C" w:rsidRPr="00C24B7C" w:rsidRDefault="0081594E" w:rsidP="00C24B7C">
      <w:pPr>
        <w:pStyle w:val="Heading3"/>
        <w:jc w:val="center"/>
        <w:rPr>
          <w:rStyle w:val="BoldemphasisChar"/>
          <w:rFonts w:eastAsiaTheme="majorEastAsia" w:cstheme="majorBidi"/>
          <w:b/>
          <w:bCs w:val="0"/>
          <w:sz w:val="28"/>
          <w:szCs w:val="24"/>
        </w:rPr>
      </w:pPr>
      <w:r>
        <w:t>f</w:t>
      </w:r>
      <w:r w:rsidR="00C24B7C" w:rsidRPr="00C24B7C">
        <w:t xml:space="preserve">or </w:t>
      </w:r>
      <w:r w:rsidR="00C24B7C" w:rsidRPr="00C24B7C">
        <w:rPr>
          <w:rStyle w:val="BoldemphasisChar"/>
          <w:rFonts w:eastAsiaTheme="majorEastAsia" w:cstheme="majorBidi"/>
          <w:b/>
          <w:bCs w:val="0"/>
          <w:sz w:val="28"/>
          <w:szCs w:val="24"/>
        </w:rPr>
        <w:t>clerking level roles</w:t>
      </w:r>
    </w:p>
    <w:p w14:paraId="44443493" w14:textId="1D62547F" w:rsidR="007844A9" w:rsidRDefault="006A20C9" w:rsidP="001F3023">
      <w:pPr>
        <w:pStyle w:val="Heading3"/>
        <w:spacing w:before="120"/>
      </w:pPr>
      <w:r w:rsidRPr="00C24B7C">
        <w:t>Key duties</w:t>
      </w:r>
    </w:p>
    <w:p w14:paraId="7D04426D" w14:textId="58F61F36" w:rsidR="00810BAD" w:rsidRPr="00231B93" w:rsidRDefault="00231B93" w:rsidP="00810BAD">
      <w:pPr>
        <w:pStyle w:val="smallbullet"/>
        <w:numPr>
          <w:ilvl w:val="0"/>
          <w:numId w:val="0"/>
        </w:numPr>
        <w:spacing w:before="60" w:after="40"/>
        <w:ind w:left="284" w:hanging="284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color w:val="242424"/>
          <w:szCs w:val="22"/>
          <w:shd w:val="clear" w:color="auto" w:fill="FFFFFF"/>
        </w:rPr>
        <w:t>Select</w:t>
      </w:r>
      <w:r w:rsidRPr="00231B93">
        <w:rPr>
          <w:rFonts w:asciiTheme="minorHAnsi" w:hAnsiTheme="minorHAnsi" w:cstheme="minorHAnsi"/>
          <w:i/>
          <w:iCs/>
          <w:color w:val="242424"/>
          <w:szCs w:val="22"/>
          <w:shd w:val="clear" w:color="auto" w:fill="FFFFFF"/>
        </w:rPr>
        <w:t xml:space="preserve"> and adapt the following typical duties to fit the requirements of your board/organisation</w:t>
      </w:r>
      <w:r w:rsidR="00810BAD" w:rsidRPr="00231B93">
        <w:rPr>
          <w:rFonts w:asciiTheme="minorHAnsi" w:hAnsiTheme="minorHAnsi" w:cstheme="minorHAnsi"/>
          <w:i/>
          <w:iCs/>
          <w:szCs w:val="22"/>
        </w:rPr>
        <w:t>: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6A20C9" w:rsidRPr="00794A7C" w14:paraId="09A14EB0" w14:textId="77777777" w:rsidTr="00794A7C">
        <w:tc>
          <w:tcPr>
            <w:tcW w:w="9350" w:type="dxa"/>
          </w:tcPr>
          <w:p w14:paraId="2A0B2BF0" w14:textId="110BC437" w:rsidR="006A20C9" w:rsidRPr="00794A7C" w:rsidRDefault="006A20C9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Organising</w:t>
            </w:r>
            <w:r w:rsidRPr="001F3023">
              <w:t xml:space="preserve"> meetings, hearings and appeals</w:t>
            </w:r>
          </w:p>
        </w:tc>
      </w:tr>
      <w:tr w:rsidR="006A20C9" w:rsidRPr="00794A7C" w14:paraId="20901453" w14:textId="77777777" w:rsidTr="00794A7C">
        <w:tc>
          <w:tcPr>
            <w:tcW w:w="9350" w:type="dxa"/>
          </w:tcPr>
          <w:p w14:paraId="3D5306D9" w14:textId="6F6A3B9C" w:rsidR="008C5A5D" w:rsidRDefault="00E5590D" w:rsidP="00810BAD">
            <w:pPr>
              <w:pStyle w:val="smallbullet"/>
              <w:spacing w:after="80"/>
            </w:pPr>
            <w:r>
              <w:t>w</w:t>
            </w:r>
            <w:r w:rsidR="006A20C9" w:rsidRPr="00794A7C">
              <w:t xml:space="preserve">orking with others to prepare agendas </w:t>
            </w:r>
          </w:p>
          <w:p w14:paraId="288DF61C" w14:textId="3B58DCA2" w:rsidR="006A20C9" w:rsidRPr="00794A7C" w:rsidRDefault="00E5590D" w:rsidP="00810BAD">
            <w:pPr>
              <w:pStyle w:val="smallbullet"/>
              <w:spacing w:before="60" w:after="80"/>
            </w:pPr>
            <w:r>
              <w:t>c</w:t>
            </w:r>
            <w:r w:rsidR="006A20C9" w:rsidRPr="00794A7C">
              <w:t xml:space="preserve">onvening meetings and distributing papers </w:t>
            </w:r>
          </w:p>
          <w:p w14:paraId="69275255" w14:textId="527AA9A0" w:rsidR="006A20C9" w:rsidRPr="00794A7C" w:rsidRDefault="00E5590D" w:rsidP="00810BAD">
            <w:pPr>
              <w:pStyle w:val="Bullettext"/>
              <w:numPr>
                <w:ilvl w:val="0"/>
                <w:numId w:val="3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</w:t>
            </w:r>
            <w:r w:rsidR="006A20C9" w:rsidRPr="00794A7C">
              <w:rPr>
                <w:sz w:val="22"/>
                <w:szCs w:val="18"/>
              </w:rPr>
              <w:t xml:space="preserve">verseeing election of officers </w:t>
            </w:r>
          </w:p>
          <w:p w14:paraId="248E6FA1" w14:textId="593CD347" w:rsidR="006A20C9" w:rsidRPr="00794A7C" w:rsidRDefault="00E5590D" w:rsidP="00810BAD">
            <w:pPr>
              <w:pStyle w:val="Bullettext"/>
              <w:numPr>
                <w:ilvl w:val="0"/>
                <w:numId w:val="3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</w:t>
            </w:r>
            <w:r w:rsidR="006A20C9" w:rsidRPr="00794A7C">
              <w:rPr>
                <w:sz w:val="22"/>
                <w:szCs w:val="18"/>
              </w:rPr>
              <w:t>ecording attendance/apologies</w:t>
            </w:r>
          </w:p>
          <w:p w14:paraId="075D4AC9" w14:textId="566D9962" w:rsidR="006A20C9" w:rsidRPr="00794A7C" w:rsidRDefault="00E5590D" w:rsidP="00810BAD">
            <w:pPr>
              <w:pStyle w:val="Bullettext"/>
              <w:numPr>
                <w:ilvl w:val="0"/>
                <w:numId w:val="3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="006A20C9" w:rsidRPr="00794A7C">
              <w:rPr>
                <w:sz w:val="22"/>
                <w:szCs w:val="18"/>
              </w:rPr>
              <w:t>ollowing up non-attendance</w:t>
            </w:r>
          </w:p>
          <w:p w14:paraId="210AA596" w14:textId="77FAE0C5" w:rsidR="006A20C9" w:rsidRPr="00794A7C" w:rsidRDefault="00E5590D" w:rsidP="00810BAD">
            <w:pPr>
              <w:pStyle w:val="Bullettext"/>
              <w:numPr>
                <w:ilvl w:val="0"/>
                <w:numId w:val="3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</w:t>
            </w:r>
            <w:r w:rsidR="006A20C9" w:rsidRPr="00794A7C">
              <w:rPr>
                <w:sz w:val="22"/>
                <w:szCs w:val="18"/>
              </w:rPr>
              <w:t>aking minutes</w:t>
            </w:r>
          </w:p>
          <w:p w14:paraId="307F378C" w14:textId="54F98535" w:rsidR="006A20C9" w:rsidRPr="00794A7C" w:rsidRDefault="00E5590D" w:rsidP="00810BAD">
            <w:pPr>
              <w:pStyle w:val="Bullettext"/>
              <w:numPr>
                <w:ilvl w:val="0"/>
                <w:numId w:val="3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</w:t>
            </w:r>
            <w:r w:rsidR="006A20C9" w:rsidRPr="00794A7C">
              <w:rPr>
                <w:sz w:val="22"/>
                <w:szCs w:val="18"/>
              </w:rPr>
              <w:t>irculating draft and approved minutes</w:t>
            </w:r>
          </w:p>
          <w:p w14:paraId="0C547EC5" w14:textId="35446F14" w:rsidR="006A20C9" w:rsidRPr="00794A7C" w:rsidRDefault="00E5590D" w:rsidP="00810BAD">
            <w:pPr>
              <w:pStyle w:val="Bullettext"/>
              <w:numPr>
                <w:ilvl w:val="0"/>
                <w:numId w:val="3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="006A20C9" w:rsidRPr="00794A7C">
              <w:rPr>
                <w:sz w:val="22"/>
                <w:szCs w:val="18"/>
              </w:rPr>
              <w:t>ollowing up on agreed action points</w:t>
            </w:r>
          </w:p>
        </w:tc>
      </w:tr>
      <w:tr w:rsidR="006A20C9" w:rsidRPr="00794A7C" w14:paraId="27341DBF" w14:textId="77777777" w:rsidTr="00794A7C">
        <w:tc>
          <w:tcPr>
            <w:tcW w:w="9350" w:type="dxa"/>
          </w:tcPr>
          <w:p w14:paraId="2C1E7325" w14:textId="350A61C1" w:rsidR="006A20C9" w:rsidRPr="001F3023" w:rsidRDefault="006A20C9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szCs w:val="24"/>
              </w:rPr>
            </w:pPr>
            <w:r w:rsidRPr="004414D7">
              <w:rPr>
                <w:rFonts w:cstheme="minorHAnsi"/>
                <w:sz w:val="22"/>
                <w:szCs w:val="20"/>
              </w:rPr>
              <w:t>Providing</w:t>
            </w:r>
            <w:r w:rsidRPr="001F3023">
              <w:rPr>
                <w:rFonts w:cstheme="minorHAnsi"/>
                <w:szCs w:val="24"/>
              </w:rPr>
              <w:t xml:space="preserve"> advice and guidance</w:t>
            </w:r>
          </w:p>
        </w:tc>
      </w:tr>
      <w:tr w:rsidR="006A20C9" w:rsidRPr="00794A7C" w14:paraId="14D8F0AC" w14:textId="77777777" w:rsidTr="00794A7C">
        <w:tc>
          <w:tcPr>
            <w:tcW w:w="9350" w:type="dxa"/>
          </w:tcPr>
          <w:p w14:paraId="64712092" w14:textId="26EB68DF" w:rsidR="006A20C9" w:rsidRPr="00794A7C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>dvising on legal duties and governing practice</w:t>
            </w:r>
          </w:p>
          <w:p w14:paraId="62FB6152" w14:textId="71EF0ADB" w:rsidR="006A20C9" w:rsidRPr="00794A7C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 xml:space="preserve">dvising on constitutional requirements </w:t>
            </w:r>
          </w:p>
          <w:p w14:paraId="60D17049" w14:textId="285C85D6" w:rsidR="006A20C9" w:rsidRPr="00794A7C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>dvising on board procedures</w:t>
            </w:r>
          </w:p>
          <w:p w14:paraId="19039958" w14:textId="5CB38E40" w:rsidR="008C5A5D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 xml:space="preserve">dvising on statutory guidance and policies </w:t>
            </w:r>
          </w:p>
          <w:p w14:paraId="5DCD9721" w14:textId="155FF15E" w:rsidR="006A20C9" w:rsidRPr="00794A7C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 xml:space="preserve">dvising on annual tasks and decisions </w:t>
            </w:r>
          </w:p>
          <w:p w14:paraId="332BBB6F" w14:textId="5D8920AB" w:rsidR="006A20C9" w:rsidRPr="00794A7C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>dvising on governor/trustee CPD</w:t>
            </w:r>
          </w:p>
          <w:p w14:paraId="2FC26120" w14:textId="402E8D35" w:rsidR="006A20C9" w:rsidRPr="00794A7C" w:rsidRDefault="00E5590D" w:rsidP="00810BAD">
            <w:pPr>
              <w:pStyle w:val="smallbullet"/>
              <w:spacing w:after="80"/>
            </w:pPr>
            <w:r>
              <w:t>a</w:t>
            </w:r>
            <w:r w:rsidR="006A20C9" w:rsidRPr="00794A7C">
              <w:t>ccessing external advice as appropriate</w:t>
            </w:r>
          </w:p>
          <w:p w14:paraId="366326EC" w14:textId="7A35831E" w:rsidR="006A20C9" w:rsidRPr="00794A7C" w:rsidRDefault="00E5590D" w:rsidP="00810BAD">
            <w:pPr>
              <w:pStyle w:val="smallbullet"/>
              <w:spacing w:after="80"/>
            </w:pPr>
            <w:r>
              <w:t>s</w:t>
            </w:r>
            <w:r w:rsidR="006A20C9" w:rsidRPr="00794A7C">
              <w:t>upporting issue resolution</w:t>
            </w:r>
          </w:p>
        </w:tc>
      </w:tr>
      <w:tr w:rsidR="0028473D" w:rsidRPr="00794A7C" w14:paraId="59C1E196" w14:textId="77777777" w:rsidTr="00794A7C">
        <w:tc>
          <w:tcPr>
            <w:tcW w:w="9350" w:type="dxa"/>
          </w:tcPr>
          <w:p w14:paraId="3EF1B537" w14:textId="341A473B" w:rsidR="0028473D" w:rsidRPr="00794A7C" w:rsidRDefault="0028473D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rFonts w:cstheme="minorHAnsi"/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Administration</w:t>
            </w:r>
            <w:r w:rsidRPr="001F3023">
              <w:rPr>
                <w:rFonts w:cstheme="minorHAnsi"/>
              </w:rPr>
              <w:t xml:space="preserve"> and record keeping</w:t>
            </w:r>
          </w:p>
        </w:tc>
      </w:tr>
      <w:tr w:rsidR="0028473D" w:rsidRPr="00794A7C" w14:paraId="17512F94" w14:textId="77777777" w:rsidTr="00794A7C">
        <w:tc>
          <w:tcPr>
            <w:tcW w:w="9350" w:type="dxa"/>
          </w:tcPr>
          <w:p w14:paraId="0E6D1B3C" w14:textId="4B5B77B1" w:rsidR="0028473D" w:rsidRPr="00794A7C" w:rsidRDefault="00E5590D" w:rsidP="00810BAD">
            <w:pPr>
              <w:pStyle w:val="smallbullet"/>
              <w:spacing w:after="80"/>
            </w:pPr>
            <w:r>
              <w:t>m</w:t>
            </w:r>
            <w:r w:rsidR="0028473D" w:rsidRPr="00794A7C">
              <w:t>aintaining membership records</w:t>
            </w:r>
          </w:p>
          <w:p w14:paraId="0ABA843F" w14:textId="4C046F8E" w:rsidR="0028473D" w:rsidRPr="00794A7C" w:rsidRDefault="00E5590D" w:rsidP="00810BAD">
            <w:pPr>
              <w:pStyle w:val="smallbullet"/>
              <w:spacing w:after="80"/>
            </w:pPr>
            <w:r>
              <w:t>m</w:t>
            </w:r>
            <w:r w:rsidR="0028473D" w:rsidRPr="00794A7C">
              <w:t>aintaining governing documents such as terms of reference and signed minutes</w:t>
            </w:r>
          </w:p>
          <w:p w14:paraId="30702840" w14:textId="4F193CC9" w:rsidR="0028473D" w:rsidRPr="00794A7C" w:rsidRDefault="00E5590D" w:rsidP="00810BAD">
            <w:pPr>
              <w:pStyle w:val="smallbullet"/>
              <w:spacing w:after="80"/>
            </w:pPr>
            <w:r>
              <w:t>m</w:t>
            </w:r>
            <w:r w:rsidR="0028473D" w:rsidRPr="00794A7C">
              <w:t>aintaining a record of board CPD</w:t>
            </w:r>
          </w:p>
          <w:p w14:paraId="59C4DE0A" w14:textId="5A76C070" w:rsidR="0028473D" w:rsidRPr="00794A7C" w:rsidRDefault="00E5590D" w:rsidP="00810BAD">
            <w:pPr>
              <w:pStyle w:val="smallbullet"/>
              <w:spacing w:after="80"/>
            </w:pPr>
            <w:r>
              <w:t>m</w:t>
            </w:r>
            <w:r w:rsidR="0028473D" w:rsidRPr="00794A7C">
              <w:t>aintaining records of board correspondence</w:t>
            </w:r>
          </w:p>
          <w:p w14:paraId="708707B6" w14:textId="4FF30F6F" w:rsidR="0028473D" w:rsidRPr="00794A7C" w:rsidRDefault="00E5590D" w:rsidP="00810BAD">
            <w:pPr>
              <w:pStyle w:val="smallbullet"/>
              <w:spacing w:after="80"/>
            </w:pPr>
            <w:r>
              <w:t>m</w:t>
            </w:r>
            <w:r w:rsidR="0028473D" w:rsidRPr="00794A7C">
              <w:t xml:space="preserve">aintaining governance communication portal </w:t>
            </w:r>
          </w:p>
          <w:p w14:paraId="30F738F7" w14:textId="41DB04BC" w:rsidR="0028473D" w:rsidRPr="00794A7C" w:rsidRDefault="00E5590D" w:rsidP="00810BAD">
            <w:pPr>
              <w:pStyle w:val="smallbullet"/>
              <w:spacing w:after="80"/>
            </w:pPr>
            <w:r>
              <w:t>d</w:t>
            </w:r>
            <w:r w:rsidR="0028473D" w:rsidRPr="00794A7C">
              <w:t>rafting correspondence on behalf of the board</w:t>
            </w:r>
          </w:p>
        </w:tc>
      </w:tr>
      <w:tr w:rsidR="004414D7" w:rsidRPr="00794A7C" w14:paraId="130AE130" w14:textId="77777777" w:rsidTr="004414D7">
        <w:trPr>
          <w:trHeight w:val="50"/>
        </w:trPr>
        <w:tc>
          <w:tcPr>
            <w:tcW w:w="9350" w:type="dxa"/>
          </w:tcPr>
          <w:p w14:paraId="785FECC3" w14:textId="544CA75B" w:rsidR="004414D7" w:rsidRPr="004414D7" w:rsidRDefault="004414D7" w:rsidP="0050134F">
            <w:pPr>
              <w:pStyle w:val="Heading4"/>
              <w:numPr>
                <w:ilvl w:val="0"/>
                <w:numId w:val="2"/>
              </w:numPr>
              <w:spacing w:before="0"/>
              <w:ind w:left="366" w:hanging="366"/>
              <w:outlineLvl w:val="3"/>
              <w:rPr>
                <w:rFonts w:cstheme="minorHAnsi"/>
                <w:sz w:val="22"/>
                <w:szCs w:val="20"/>
              </w:rPr>
            </w:pPr>
            <w:r w:rsidRPr="004414D7">
              <w:rPr>
                <w:rFonts w:cstheme="minorHAnsi"/>
                <w:sz w:val="22"/>
              </w:rPr>
              <w:t>Maintaining relationships and communication</w:t>
            </w:r>
          </w:p>
        </w:tc>
      </w:tr>
      <w:tr w:rsidR="004414D7" w:rsidRPr="00794A7C" w14:paraId="4EA7B9F6" w14:textId="77777777" w:rsidTr="004414D7">
        <w:trPr>
          <w:trHeight w:val="50"/>
        </w:trPr>
        <w:tc>
          <w:tcPr>
            <w:tcW w:w="9350" w:type="dxa"/>
          </w:tcPr>
          <w:p w14:paraId="7B2890A7" w14:textId="45134BAD" w:rsidR="004414D7" w:rsidRPr="00794A7C" w:rsidRDefault="004414D7" w:rsidP="00810BAD">
            <w:pPr>
              <w:pStyle w:val="smallbullet"/>
              <w:spacing w:after="80"/>
            </w:pPr>
            <w:r>
              <w:t>m</w:t>
            </w:r>
            <w:r w:rsidRPr="00794A7C">
              <w:t xml:space="preserve">aintaining professional working relationships with the chair, the board and school leaders </w:t>
            </w:r>
          </w:p>
          <w:p w14:paraId="5E424962" w14:textId="77777777" w:rsidR="004414D7" w:rsidRPr="00794A7C" w:rsidRDefault="004414D7" w:rsidP="00810BAD">
            <w:pPr>
              <w:pStyle w:val="smallbullet"/>
              <w:spacing w:after="80"/>
            </w:pPr>
            <w:r>
              <w:t>c</w:t>
            </w:r>
            <w:r w:rsidRPr="00794A7C">
              <w:t>ommunicating on board matters outside of meetings</w:t>
            </w:r>
          </w:p>
          <w:p w14:paraId="65462288" w14:textId="3006120A" w:rsidR="004414D7" w:rsidRPr="004414D7" w:rsidRDefault="004414D7" w:rsidP="00810BAD">
            <w:pPr>
              <w:pStyle w:val="smallbullet"/>
              <w:spacing w:after="80"/>
              <w:rPr>
                <w:rFonts w:cstheme="minorHAnsi"/>
                <w:szCs w:val="20"/>
              </w:rPr>
            </w:pPr>
            <w:r>
              <w:t>w</w:t>
            </w:r>
            <w:r w:rsidRPr="00794A7C">
              <w:t xml:space="preserve">here appropriate, liaising on behalf of the board </w:t>
            </w:r>
            <w:r>
              <w:t xml:space="preserve">(such as for </w:t>
            </w:r>
            <w:r w:rsidRPr="00794A7C">
              <w:t>external reviews of governance</w:t>
            </w:r>
            <w:r>
              <w:t>)</w:t>
            </w:r>
          </w:p>
        </w:tc>
      </w:tr>
      <w:tr w:rsidR="004414D7" w:rsidRPr="00794A7C" w14:paraId="3A68507D" w14:textId="77777777" w:rsidTr="004414D7">
        <w:trPr>
          <w:trHeight w:val="50"/>
        </w:trPr>
        <w:tc>
          <w:tcPr>
            <w:tcW w:w="9350" w:type="dxa"/>
          </w:tcPr>
          <w:p w14:paraId="282F51F8" w14:textId="02843846" w:rsidR="004414D7" w:rsidRPr="00794A7C" w:rsidRDefault="004414D7" w:rsidP="0050134F">
            <w:pPr>
              <w:pStyle w:val="Heading4"/>
              <w:numPr>
                <w:ilvl w:val="0"/>
                <w:numId w:val="2"/>
              </w:numPr>
              <w:spacing w:before="0"/>
              <w:ind w:left="307" w:hanging="284"/>
              <w:outlineLvl w:val="3"/>
              <w:rPr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lastRenderedPageBreak/>
              <w:t>Ensuring compliance</w:t>
            </w:r>
          </w:p>
        </w:tc>
      </w:tr>
      <w:tr w:rsidR="004414D7" w:rsidRPr="00794A7C" w14:paraId="53EB8785" w14:textId="77777777" w:rsidTr="00794A7C">
        <w:tc>
          <w:tcPr>
            <w:tcW w:w="9350" w:type="dxa"/>
          </w:tcPr>
          <w:p w14:paraId="4EE4AA7E" w14:textId="263AD384" w:rsidR="004414D7" w:rsidRPr="00794A7C" w:rsidRDefault="004414D7" w:rsidP="00810BAD">
            <w:pPr>
              <w:pStyle w:val="smallbullet"/>
              <w:spacing w:before="0" w:after="60"/>
            </w:pPr>
            <w:r>
              <w:t>e</w:t>
            </w:r>
            <w:r w:rsidRPr="00794A7C">
              <w:t>nsuring meetings are quorate</w:t>
            </w:r>
          </w:p>
          <w:p w14:paraId="356D90DF" w14:textId="38BA81B7" w:rsidR="004414D7" w:rsidRPr="00794A7C" w:rsidRDefault="004414D7" w:rsidP="00810BAD">
            <w:pPr>
              <w:pStyle w:val="smallbullet"/>
              <w:spacing w:before="0" w:after="60"/>
            </w:pPr>
            <w:r>
              <w:t>o</w:t>
            </w:r>
            <w:r w:rsidRPr="00794A7C">
              <w:t>verseeing the review of required policies</w:t>
            </w:r>
          </w:p>
          <w:p w14:paraId="475B8078" w14:textId="6BEAC80E" w:rsidR="004414D7" w:rsidRPr="00794A7C" w:rsidRDefault="004414D7" w:rsidP="00810BAD">
            <w:pPr>
              <w:pStyle w:val="smallbullet"/>
              <w:spacing w:before="0" w:after="60"/>
            </w:pPr>
            <w:r>
              <w:t>p</w:t>
            </w:r>
            <w:r w:rsidRPr="00794A7C">
              <w:t>ublication of governance information on school websites</w:t>
            </w:r>
          </w:p>
          <w:p w14:paraId="1C5C640C" w14:textId="75DEAA7D" w:rsidR="004414D7" w:rsidRPr="00794A7C" w:rsidRDefault="004414D7" w:rsidP="00810BAD">
            <w:pPr>
              <w:pStyle w:val="smallbullet"/>
              <w:spacing w:before="0" w:after="60"/>
            </w:pPr>
            <w:r>
              <w:t>a</w:t>
            </w:r>
            <w:r w:rsidRPr="00794A7C">
              <w:t>dvising on data protection requirements</w:t>
            </w:r>
          </w:p>
          <w:p w14:paraId="1F76DBC8" w14:textId="6CE30E79" w:rsidR="004414D7" w:rsidRPr="00794A7C" w:rsidRDefault="004414D7" w:rsidP="00810BAD">
            <w:pPr>
              <w:pStyle w:val="smallbullet"/>
              <w:spacing w:before="0" w:after="60"/>
            </w:pPr>
            <w:r>
              <w:t>o</w:t>
            </w:r>
            <w:r w:rsidRPr="00794A7C">
              <w:t xml:space="preserve">verseeing board recruitment processes </w:t>
            </w:r>
          </w:p>
          <w:p w14:paraId="2DDA3CB5" w14:textId="22ABF571" w:rsidR="004414D7" w:rsidRPr="00794A7C" w:rsidRDefault="004414D7" w:rsidP="00810BAD">
            <w:pPr>
              <w:pStyle w:val="smallbullet"/>
              <w:spacing w:before="0" w:after="60"/>
            </w:pPr>
            <w:r>
              <w:t>c</w:t>
            </w:r>
            <w:r w:rsidRPr="00794A7C">
              <w:t>o-ordinating safeguarding checks on board members</w:t>
            </w:r>
          </w:p>
          <w:p w14:paraId="2857B64F" w14:textId="551CC976" w:rsidR="004414D7" w:rsidRDefault="004414D7" w:rsidP="00810BAD">
            <w:pPr>
              <w:pStyle w:val="smallbullet"/>
              <w:spacing w:before="0" w:after="60"/>
            </w:pPr>
            <w:r>
              <w:t>m</w:t>
            </w:r>
            <w:r w:rsidRPr="00794A7C">
              <w:t>onitoring eligibility of board members to serve including on committees</w:t>
            </w:r>
          </w:p>
          <w:p w14:paraId="2FAC88D7" w14:textId="09797E67" w:rsidR="004414D7" w:rsidRDefault="004414D7" w:rsidP="00810BAD">
            <w:pPr>
              <w:pStyle w:val="smallbullet"/>
              <w:spacing w:before="0" w:after="60"/>
            </w:pPr>
            <w:r>
              <w:t>n</w:t>
            </w:r>
            <w:r w:rsidRPr="00794A7C">
              <w:t>otifying disqualifications, expiry of office etc</w:t>
            </w:r>
          </w:p>
          <w:p w14:paraId="47F9C446" w14:textId="45DA8AFE" w:rsidR="004414D7" w:rsidRPr="00E64DA4" w:rsidRDefault="004414D7" w:rsidP="00810BAD">
            <w:pPr>
              <w:pStyle w:val="smallbullet"/>
              <w:spacing w:before="0" w:after="60"/>
            </w:pPr>
            <w:r>
              <w:t>s</w:t>
            </w:r>
            <w:r w:rsidRPr="00E64DA4">
              <w:t>tatutory registers and filing returns</w:t>
            </w:r>
          </w:p>
        </w:tc>
      </w:tr>
    </w:tbl>
    <w:p w14:paraId="1A38B118" w14:textId="610543BA" w:rsidR="00794A7C" w:rsidRDefault="00794A7C" w:rsidP="00DF6CAB">
      <w:pPr>
        <w:pStyle w:val="Heading3"/>
        <w:spacing w:before="120"/>
      </w:pPr>
      <w:r>
        <w:t>Person specification</w:t>
      </w:r>
    </w:p>
    <w:p w14:paraId="2800217F" w14:textId="77777777" w:rsidR="00D52E2E" w:rsidRPr="00A929A1" w:rsidRDefault="00D52E2E" w:rsidP="00A929A1">
      <w:pPr>
        <w:pStyle w:val="MainText"/>
        <w:shd w:val="clear" w:color="auto" w:fill="D9E2F3" w:themeFill="accent1" w:themeFillTint="33"/>
        <w:spacing w:after="80"/>
        <w:rPr>
          <w:i/>
          <w:iCs/>
          <w:sz w:val="22"/>
          <w:szCs w:val="18"/>
        </w:rPr>
      </w:pPr>
      <w:r w:rsidRPr="00A929A1">
        <w:rPr>
          <w:i/>
          <w:iCs/>
          <w:sz w:val="22"/>
          <w:szCs w:val="18"/>
        </w:rPr>
        <w:t>It is recommended that those working at clerking level hold a relevant clerking qualification or obtain one within twelve months of employment. For example, the </w:t>
      </w:r>
      <w:hyperlink r:id="rId13" w:history="1">
        <w:r w:rsidRPr="00A929A1">
          <w:rPr>
            <w:rStyle w:val="Hyperlink"/>
            <w:i/>
            <w:iCs/>
            <w:sz w:val="22"/>
            <w:szCs w:val="18"/>
          </w:rPr>
          <w:t>Certificate in the Clerking of School and Academy Governing Boards</w:t>
        </w:r>
      </w:hyperlink>
      <w:r w:rsidRPr="00A929A1">
        <w:rPr>
          <w:rStyle w:val="Hyperlink"/>
          <w:i/>
          <w:iCs/>
          <w:sz w:val="22"/>
          <w:szCs w:val="18"/>
        </w:rPr>
        <w:t>.</w:t>
      </w:r>
      <w:r w:rsidRPr="00A929A1">
        <w:rPr>
          <w:i/>
          <w:iCs/>
          <w:sz w:val="22"/>
          <w:szCs w:val="18"/>
        </w:rPr>
        <w:t xml:space="preserve"> This should be funded by the employer or built into the cost of a service level agreement.</w:t>
      </w:r>
    </w:p>
    <w:p w14:paraId="2D4F82DF" w14:textId="01A484D7" w:rsidR="008B1472" w:rsidRPr="00A929A1" w:rsidRDefault="00D52E2E" w:rsidP="00D52E2E">
      <w:pPr>
        <w:pStyle w:val="MainText"/>
        <w:shd w:val="clear" w:color="auto" w:fill="D9E2F3" w:themeFill="accent1" w:themeFillTint="33"/>
        <w:rPr>
          <w:i/>
          <w:iCs/>
          <w:sz w:val="22"/>
          <w:szCs w:val="18"/>
        </w:rPr>
      </w:pPr>
      <w:r w:rsidRPr="00A929A1">
        <w:rPr>
          <w:i/>
          <w:iCs/>
          <w:sz w:val="22"/>
          <w:szCs w:val="18"/>
        </w:rPr>
        <w:t>In most cases employers at this level look for a good standard of education, relevant transferable experience and</w:t>
      </w:r>
      <w:r w:rsidR="00A929A1" w:rsidRPr="00A929A1">
        <w:rPr>
          <w:i/>
          <w:iCs/>
          <w:sz w:val="22"/>
          <w:szCs w:val="18"/>
        </w:rPr>
        <w:t xml:space="preserve"> the following knowledge, skills and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4A7C" w14:paraId="5E188692" w14:textId="77777777" w:rsidTr="00F4756D">
        <w:tc>
          <w:tcPr>
            <w:tcW w:w="9350" w:type="dxa"/>
          </w:tcPr>
          <w:p w14:paraId="0BEEAABB" w14:textId="2844937B" w:rsidR="00794A7C" w:rsidRPr="00794A7C" w:rsidRDefault="008C0800" w:rsidP="004414D7">
            <w:pPr>
              <w:pStyle w:val="Heading4"/>
              <w:spacing w:before="0"/>
              <w:outlineLvl w:val="3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Knowledge</w:t>
            </w:r>
          </w:p>
        </w:tc>
      </w:tr>
      <w:tr w:rsidR="00794A7C" w14:paraId="20F03F27" w14:textId="77777777" w:rsidTr="00F4756D">
        <w:tc>
          <w:tcPr>
            <w:tcW w:w="9350" w:type="dxa"/>
          </w:tcPr>
          <w:p w14:paraId="2A3789E9" w14:textId="59854779" w:rsidR="00A06CFA" w:rsidRPr="008B1472" w:rsidRDefault="002D3F08" w:rsidP="00810BAD">
            <w:pPr>
              <w:pStyle w:val="smallbullet"/>
              <w:spacing w:before="0" w:after="60"/>
            </w:pPr>
            <w:r>
              <w:t>t</w:t>
            </w:r>
            <w:r w:rsidR="00A06CFA" w:rsidRPr="008B1472">
              <w:t>he schools system: structures, accountability and funding</w:t>
            </w:r>
          </w:p>
          <w:p w14:paraId="2FB26F69" w14:textId="36AD128F" w:rsidR="00A06CFA" w:rsidRPr="008B1472" w:rsidRDefault="002D3F08" w:rsidP="00810BAD">
            <w:pPr>
              <w:pStyle w:val="smallbullet"/>
              <w:spacing w:before="0" w:after="60"/>
            </w:pPr>
            <w:r>
              <w:t>g</w:t>
            </w:r>
            <w:r w:rsidR="00A06CFA" w:rsidRPr="008B1472">
              <w:t>overnance legislation, procedures and regulations relevant to the organisation</w:t>
            </w:r>
          </w:p>
          <w:p w14:paraId="6B68D8B9" w14:textId="2D399C5F" w:rsidR="00A06CFA" w:rsidRPr="008B1472" w:rsidRDefault="002D3F08" w:rsidP="00810BAD">
            <w:pPr>
              <w:pStyle w:val="smallbullet"/>
              <w:spacing w:before="0" w:after="60"/>
            </w:pPr>
            <w:r>
              <w:t>t</w:t>
            </w:r>
            <w:r w:rsidR="00A06CFA" w:rsidRPr="008B1472">
              <w:t>he core functions of a school governing board as they apply to the organisation</w:t>
            </w:r>
          </w:p>
          <w:p w14:paraId="62E9084C" w14:textId="62EB3E6C" w:rsidR="00794A7C" w:rsidRDefault="002D3F08" w:rsidP="00810BAD">
            <w:pPr>
              <w:pStyle w:val="smallbullet"/>
              <w:spacing w:before="0" w:after="60"/>
            </w:pPr>
            <w:r>
              <w:t>e</w:t>
            </w:r>
            <w:r w:rsidR="00A06CFA" w:rsidRPr="008B1472">
              <w:t>lements of effective governance and board practice as they apply to the organisation </w:t>
            </w:r>
          </w:p>
        </w:tc>
      </w:tr>
      <w:tr w:rsidR="00794A7C" w14:paraId="6E2CBBA9" w14:textId="77777777" w:rsidTr="00F4756D">
        <w:tc>
          <w:tcPr>
            <w:tcW w:w="9350" w:type="dxa"/>
          </w:tcPr>
          <w:p w14:paraId="3BB37217" w14:textId="00608CC8" w:rsidR="00794A7C" w:rsidRPr="00D17E28" w:rsidRDefault="00D17E28" w:rsidP="004414D7">
            <w:pPr>
              <w:pStyle w:val="Heading4"/>
              <w:spacing w:before="0"/>
              <w:outlineLvl w:val="3"/>
              <w:rPr>
                <w:rFonts w:asciiTheme="minorHAnsi" w:hAnsiTheme="minorHAnsi" w:cstheme="minorHAnsi"/>
                <w:color w:val="auto"/>
              </w:rPr>
            </w:pPr>
            <w:r w:rsidRPr="008B1472">
              <w:rPr>
                <w:rFonts w:cstheme="minorHAnsi"/>
                <w:sz w:val="22"/>
                <w:szCs w:val="20"/>
              </w:rPr>
              <w:t>Skills</w:t>
            </w:r>
          </w:p>
        </w:tc>
      </w:tr>
      <w:tr w:rsidR="00794A7C" w14:paraId="44D7D144" w14:textId="77777777" w:rsidTr="00F4756D">
        <w:tc>
          <w:tcPr>
            <w:tcW w:w="9350" w:type="dxa"/>
          </w:tcPr>
          <w:p w14:paraId="06572788" w14:textId="628A629A" w:rsidR="000362FE" w:rsidRPr="008B1472" w:rsidRDefault="002D3F08" w:rsidP="00810BAD">
            <w:pPr>
              <w:pStyle w:val="smallbullet"/>
              <w:spacing w:before="0" w:after="60"/>
            </w:pPr>
            <w:r>
              <w:t>l</w:t>
            </w:r>
            <w:r w:rsidR="000362FE" w:rsidRPr="008B1472">
              <w:t>iteracy, numeracy and IT</w:t>
            </w:r>
          </w:p>
          <w:p w14:paraId="58943A1D" w14:textId="73727B2C" w:rsidR="000362FE" w:rsidRPr="008B1472" w:rsidRDefault="002D3F08" w:rsidP="00810BAD">
            <w:pPr>
              <w:pStyle w:val="smallbullet"/>
              <w:spacing w:before="0" w:after="60"/>
            </w:pPr>
            <w:r>
              <w:t>w</w:t>
            </w:r>
            <w:r w:rsidR="000362FE" w:rsidRPr="008B1472">
              <w:t>ritten and verbal communication</w:t>
            </w:r>
          </w:p>
          <w:p w14:paraId="49863CBB" w14:textId="104AFA27" w:rsidR="000362FE" w:rsidRPr="008B1472" w:rsidRDefault="002D3F08" w:rsidP="00810BAD">
            <w:pPr>
              <w:pStyle w:val="smallbullet"/>
              <w:spacing w:before="0" w:after="60"/>
            </w:pPr>
            <w:r>
              <w:t>m</w:t>
            </w:r>
            <w:r w:rsidR="000362FE" w:rsidRPr="008B1472">
              <w:t>inute taking</w:t>
            </w:r>
          </w:p>
          <w:p w14:paraId="3DD4B5BD" w14:textId="17785C03" w:rsidR="000362FE" w:rsidRPr="008B1472" w:rsidRDefault="002D3F08" w:rsidP="00810BAD">
            <w:pPr>
              <w:pStyle w:val="smallbullet"/>
              <w:spacing w:before="0" w:after="60"/>
            </w:pPr>
            <w:r>
              <w:t>p</w:t>
            </w:r>
            <w:r w:rsidR="000362FE" w:rsidRPr="008B1472">
              <w:t>lanning and organisational</w:t>
            </w:r>
          </w:p>
          <w:p w14:paraId="244CEB67" w14:textId="512768C5" w:rsidR="000362FE" w:rsidRPr="008B1472" w:rsidRDefault="002D3F08" w:rsidP="00810BAD">
            <w:pPr>
              <w:pStyle w:val="smallbullet"/>
              <w:spacing w:before="0" w:after="60"/>
            </w:pPr>
            <w:r>
              <w:t>p</w:t>
            </w:r>
            <w:r w:rsidR="000362FE" w:rsidRPr="008B1472">
              <w:t>eople and relationship building</w:t>
            </w:r>
          </w:p>
          <w:p w14:paraId="35EF9CCB" w14:textId="276B5687" w:rsidR="000362FE" w:rsidRPr="008B1472" w:rsidRDefault="002D3F08" w:rsidP="00810BAD">
            <w:pPr>
              <w:pStyle w:val="smallbullet"/>
              <w:spacing w:before="0" w:after="60"/>
            </w:pPr>
            <w:r>
              <w:t>a</w:t>
            </w:r>
            <w:r w:rsidR="000362FE" w:rsidRPr="008B1472">
              <w:t>dvisory skills - recommending a course of action </w:t>
            </w:r>
          </w:p>
          <w:p w14:paraId="445EF16F" w14:textId="6783EC61" w:rsidR="000362FE" w:rsidRPr="008B1472" w:rsidRDefault="002D3F08" w:rsidP="00810BAD">
            <w:pPr>
              <w:pStyle w:val="smallbullet"/>
              <w:spacing w:before="0" w:after="60"/>
            </w:pPr>
            <w:r>
              <w:t>r</w:t>
            </w:r>
            <w:r w:rsidR="000362FE" w:rsidRPr="008B1472">
              <w:t>isk aware/</w:t>
            </w:r>
            <w:r w:rsidR="00431127">
              <w:t>able to</w:t>
            </w:r>
            <w:r w:rsidR="000362FE" w:rsidRPr="008B1472">
              <w:t xml:space="preserve"> articulate risk in the context</w:t>
            </w:r>
          </w:p>
          <w:p w14:paraId="0961196D" w14:textId="4611FC2F" w:rsidR="000362FE" w:rsidRPr="008B1472" w:rsidRDefault="00431127" w:rsidP="00810BAD">
            <w:pPr>
              <w:pStyle w:val="smallbullet"/>
              <w:spacing w:before="0" w:after="60"/>
            </w:pPr>
            <w:r>
              <w:t>p</w:t>
            </w:r>
            <w:r w:rsidR="000362FE" w:rsidRPr="008B1472">
              <w:t>roblem solving</w:t>
            </w:r>
          </w:p>
          <w:p w14:paraId="7AB31FCC" w14:textId="36FBF532" w:rsidR="00794A7C" w:rsidRDefault="00431127" w:rsidP="00810BAD">
            <w:pPr>
              <w:pStyle w:val="smallbullet"/>
              <w:spacing w:before="0" w:after="60"/>
            </w:pPr>
            <w:r>
              <w:t>t</w:t>
            </w:r>
            <w:r w:rsidR="000362FE" w:rsidRPr="008B1472">
              <w:t>ime management to meet deadlines and competing demands</w:t>
            </w:r>
          </w:p>
        </w:tc>
      </w:tr>
      <w:tr w:rsidR="00794A7C" w14:paraId="2F9FA276" w14:textId="77777777" w:rsidTr="00F4756D">
        <w:tc>
          <w:tcPr>
            <w:tcW w:w="9350" w:type="dxa"/>
          </w:tcPr>
          <w:p w14:paraId="2683F6CB" w14:textId="6E329579" w:rsidR="00794A7C" w:rsidRPr="008B1472" w:rsidRDefault="00794A7C" w:rsidP="004414D7">
            <w:pPr>
              <w:pStyle w:val="Heading4"/>
              <w:spacing w:before="0"/>
              <w:outlineLvl w:val="3"/>
              <w:rPr>
                <w:rFonts w:cstheme="minorHAnsi"/>
                <w:sz w:val="22"/>
                <w:szCs w:val="20"/>
              </w:rPr>
            </w:pPr>
            <w:r w:rsidRPr="008B1472">
              <w:rPr>
                <w:rFonts w:cstheme="minorHAnsi"/>
                <w:sz w:val="22"/>
                <w:szCs w:val="20"/>
              </w:rPr>
              <w:t>A</w:t>
            </w:r>
            <w:r w:rsidR="00272014">
              <w:rPr>
                <w:rFonts w:cstheme="minorHAnsi"/>
                <w:sz w:val="22"/>
                <w:szCs w:val="20"/>
              </w:rPr>
              <w:t>ttributes</w:t>
            </w:r>
          </w:p>
        </w:tc>
      </w:tr>
      <w:tr w:rsidR="00794A7C" w14:paraId="7098C0DD" w14:textId="77777777" w:rsidTr="00F4756D">
        <w:tc>
          <w:tcPr>
            <w:tcW w:w="9350" w:type="dxa"/>
          </w:tcPr>
          <w:p w14:paraId="363D5794" w14:textId="476229F6" w:rsidR="008B1472" w:rsidRPr="008B1472" w:rsidRDefault="00431127" w:rsidP="00810BAD">
            <w:pPr>
              <w:pStyle w:val="smallbullet"/>
              <w:spacing w:before="0" w:after="60"/>
            </w:pPr>
            <w:r>
              <w:t>p</w:t>
            </w:r>
            <w:r w:rsidR="008B1472" w:rsidRPr="008B1472">
              <w:t>ersonal integrity and commitment to </w:t>
            </w:r>
            <w:hyperlink r:id="rId14" w:history="1">
              <w:r w:rsidR="008B1472" w:rsidRPr="00810BAD">
                <w:rPr>
                  <w:rStyle w:val="Hyperlink"/>
                </w:rPr>
                <w:t>the principles of public life</w:t>
              </w:r>
            </w:hyperlink>
          </w:p>
          <w:p w14:paraId="6A55A84C" w14:textId="510951A1" w:rsidR="008B1472" w:rsidRPr="008B1472" w:rsidRDefault="00431127" w:rsidP="00810BAD">
            <w:pPr>
              <w:pStyle w:val="smallbullet"/>
              <w:spacing w:before="0" w:after="60"/>
            </w:pPr>
            <w:r>
              <w:t>r</w:t>
            </w:r>
            <w:r w:rsidR="008B1472" w:rsidRPr="008B1472">
              <w:t>espect</w:t>
            </w:r>
            <w:r>
              <w:t xml:space="preserve"> for</w:t>
            </w:r>
            <w:r w:rsidR="008B1472" w:rsidRPr="008B1472">
              <w:t xml:space="preserve"> confidentiality</w:t>
            </w:r>
          </w:p>
          <w:p w14:paraId="73265C26" w14:textId="1390C714" w:rsidR="008B1472" w:rsidRPr="008B1472" w:rsidRDefault="00431127" w:rsidP="00810BAD">
            <w:pPr>
              <w:pStyle w:val="smallbullet"/>
              <w:spacing w:before="0" w:after="60"/>
            </w:pPr>
            <w:r>
              <w:t>c</w:t>
            </w:r>
            <w:r w:rsidR="008B1472" w:rsidRPr="008B1472">
              <w:t>onfidence and resilience (to challenge when necessary)</w:t>
            </w:r>
          </w:p>
          <w:p w14:paraId="560A9F93" w14:textId="28A66C2D" w:rsidR="00794A7C" w:rsidRPr="008B1472" w:rsidRDefault="00431127" w:rsidP="00810BAD">
            <w:pPr>
              <w:pStyle w:val="smallbullet"/>
              <w:spacing w:before="0" w:after="60"/>
            </w:pPr>
            <w:r>
              <w:t>c</w:t>
            </w:r>
            <w:r w:rsidR="008B1472" w:rsidRPr="008B1472">
              <w:t xml:space="preserve">ommitment to </w:t>
            </w:r>
            <w:r>
              <w:t>professional development</w:t>
            </w:r>
          </w:p>
        </w:tc>
      </w:tr>
    </w:tbl>
    <w:p w14:paraId="3EEE8BA1" w14:textId="77777777" w:rsidR="006A20C9" w:rsidRDefault="006A20C9" w:rsidP="00A929A1"/>
    <w:sectPr w:rsidR="006A20C9" w:rsidSect="0028473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985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FBE9" w14:textId="77777777" w:rsidR="00CD4A29" w:rsidRDefault="00CD4A29">
      <w:r>
        <w:separator/>
      </w:r>
    </w:p>
  </w:endnote>
  <w:endnote w:type="continuationSeparator" w:id="0">
    <w:p w14:paraId="66684E5D" w14:textId="77777777" w:rsidR="00CD4A29" w:rsidRDefault="00CD4A29">
      <w:r>
        <w:continuationSeparator/>
      </w:r>
    </w:p>
  </w:endnote>
  <w:endnote w:type="continuationNotice" w:id="1">
    <w:p w14:paraId="0C364C03" w14:textId="77777777" w:rsidR="00CD4A29" w:rsidRDefault="00CD4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A29C" w14:textId="7EC8A900" w:rsidR="00F4756D" w:rsidRPr="002E3F01" w:rsidRDefault="00D46532" w:rsidP="00F4756D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December </w:t>
    </w:r>
    <w:r w:rsidR="007C0447">
      <w:rPr>
        <w:color w:val="000000"/>
        <w:sz w:val="20"/>
        <w:szCs w:val="20"/>
      </w:rPr>
      <w:t>202</w:t>
    </w:r>
    <w:r w:rsidR="00A36DB8">
      <w:rPr>
        <w:color w:val="000000"/>
        <w:sz w:val="20"/>
        <w:szCs w:val="20"/>
      </w:rPr>
      <w:t>2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A36DB8">
      <w:rPr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4049" w14:textId="0F018C40" w:rsidR="00F4756D" w:rsidRPr="002E3F01" w:rsidRDefault="006A20C9" w:rsidP="00F4756D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December</w:t>
    </w:r>
    <w:r w:rsidR="007C0447">
      <w:rPr>
        <w:color w:val="000000"/>
        <w:sz w:val="20"/>
        <w:szCs w:val="20"/>
      </w:rPr>
      <w:t xml:space="preserve"> 202</w:t>
    </w:r>
    <w:r w:rsidR="00A36DB8">
      <w:rPr>
        <w:color w:val="000000"/>
        <w:sz w:val="20"/>
        <w:szCs w:val="20"/>
      </w:rPr>
      <w:t>2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A36DB8">
      <w:rPr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035B" w14:textId="77777777" w:rsidR="00CD4A29" w:rsidRDefault="00CD4A29">
      <w:r>
        <w:separator/>
      </w:r>
    </w:p>
  </w:footnote>
  <w:footnote w:type="continuationSeparator" w:id="0">
    <w:p w14:paraId="5C5167E1" w14:textId="77777777" w:rsidR="00CD4A29" w:rsidRDefault="00CD4A29">
      <w:r>
        <w:continuationSeparator/>
      </w:r>
    </w:p>
  </w:footnote>
  <w:footnote w:type="continuationNotice" w:id="1">
    <w:p w14:paraId="529CAA88" w14:textId="77777777" w:rsidR="00CD4A29" w:rsidRDefault="00CD4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4431" w14:textId="77777777" w:rsidR="00F4756D" w:rsidRDefault="007844A9">
    <w:pPr>
      <w:pStyle w:val="Header"/>
    </w:pPr>
    <w:r>
      <w:rPr>
        <w:noProof/>
      </w:rPr>
      <w:drawing>
        <wp:inline distT="0" distB="0" distL="0" distR="0" wp14:anchorId="34D1ABE9" wp14:editId="6ABCDEB0">
          <wp:extent cx="1518036" cy="603556"/>
          <wp:effectExtent l="0" t="0" r="6350" b="635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6240" w14:textId="77777777" w:rsidR="00F4756D" w:rsidRDefault="007844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7E5FE" wp14:editId="2BFF3C3B">
          <wp:simplePos x="0" y="0"/>
          <wp:positionH relativeFrom="column">
            <wp:posOffset>4457700</wp:posOffset>
          </wp:positionH>
          <wp:positionV relativeFrom="paragraph">
            <wp:posOffset>9525</wp:posOffset>
          </wp:positionV>
          <wp:extent cx="1820545" cy="1327150"/>
          <wp:effectExtent l="0" t="0" r="8255" b="635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0"/>
                  <a:stretch/>
                </pic:blipFill>
                <pic:spPr bwMode="auto">
                  <a:xfrm>
                    <a:off x="0" y="0"/>
                    <a:ext cx="1820545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B2A26" w14:textId="7DA2DDA8" w:rsidR="009832F0" w:rsidRDefault="006A20C9" w:rsidP="00F4756D">
    <w:pPr>
      <w:pStyle w:val="Header"/>
      <w:tabs>
        <w:tab w:val="left" w:pos="7995"/>
      </w:tabs>
    </w:pPr>
    <w:r>
      <w:rPr>
        <w:noProof/>
      </w:rPr>
      <w:drawing>
        <wp:inline distT="0" distB="0" distL="0" distR="0" wp14:anchorId="0F357508" wp14:editId="72B3ABCD">
          <wp:extent cx="1604181" cy="885825"/>
          <wp:effectExtent l="0" t="0" r="0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3" r="8356" b="5419"/>
                  <a:stretch/>
                </pic:blipFill>
                <pic:spPr bwMode="auto">
                  <a:xfrm>
                    <a:off x="0" y="0"/>
                    <a:ext cx="1628133" cy="8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B920F1" w14:textId="77777777" w:rsidR="002936CA" w:rsidRDefault="002936CA" w:rsidP="00F4756D">
    <w:pPr>
      <w:pStyle w:val="Header"/>
      <w:tabs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4B62"/>
    <w:multiLevelType w:val="hybridMultilevel"/>
    <w:tmpl w:val="778CA8AE"/>
    <w:lvl w:ilvl="0" w:tplc="AAF29EA8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13889">
    <w:abstractNumId w:val="0"/>
  </w:num>
  <w:num w:numId="2" w16cid:durableId="345323868">
    <w:abstractNumId w:val="1"/>
  </w:num>
  <w:num w:numId="3" w16cid:durableId="609819859">
    <w:abstractNumId w:val="2"/>
  </w:num>
  <w:num w:numId="4" w16cid:durableId="465634151">
    <w:abstractNumId w:val="2"/>
  </w:num>
  <w:num w:numId="5" w16cid:durableId="1919705510">
    <w:abstractNumId w:val="2"/>
  </w:num>
  <w:num w:numId="6" w16cid:durableId="1521627770">
    <w:abstractNumId w:val="2"/>
  </w:num>
  <w:num w:numId="7" w16cid:durableId="1551191568">
    <w:abstractNumId w:val="2"/>
  </w:num>
  <w:num w:numId="8" w16cid:durableId="1589657609">
    <w:abstractNumId w:val="2"/>
  </w:num>
  <w:num w:numId="9" w16cid:durableId="921766310">
    <w:abstractNumId w:val="2"/>
  </w:num>
  <w:num w:numId="10" w16cid:durableId="170343902">
    <w:abstractNumId w:val="2"/>
  </w:num>
  <w:num w:numId="11" w16cid:durableId="927807880">
    <w:abstractNumId w:val="2"/>
  </w:num>
  <w:num w:numId="12" w16cid:durableId="149253487">
    <w:abstractNumId w:val="2"/>
  </w:num>
  <w:num w:numId="13" w16cid:durableId="2048796402">
    <w:abstractNumId w:val="2"/>
  </w:num>
  <w:num w:numId="14" w16cid:durableId="1528830977">
    <w:abstractNumId w:val="2"/>
  </w:num>
  <w:num w:numId="15" w16cid:durableId="10066346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9"/>
    <w:rsid w:val="000311BE"/>
    <w:rsid w:val="0003228B"/>
    <w:rsid w:val="000362FE"/>
    <w:rsid w:val="00053438"/>
    <w:rsid w:val="00163976"/>
    <w:rsid w:val="00163B1F"/>
    <w:rsid w:val="001F3023"/>
    <w:rsid w:val="001F4EF0"/>
    <w:rsid w:val="00222D62"/>
    <w:rsid w:val="002264FE"/>
    <w:rsid w:val="00231B93"/>
    <w:rsid w:val="00260FA1"/>
    <w:rsid w:val="00272014"/>
    <w:rsid w:val="002779DD"/>
    <w:rsid w:val="0028473D"/>
    <w:rsid w:val="002936CA"/>
    <w:rsid w:val="002B5F0E"/>
    <w:rsid w:val="002D3F08"/>
    <w:rsid w:val="00325EE3"/>
    <w:rsid w:val="00335371"/>
    <w:rsid w:val="003F1A4F"/>
    <w:rsid w:val="003F29BF"/>
    <w:rsid w:val="00431127"/>
    <w:rsid w:val="004414D7"/>
    <w:rsid w:val="004E2B9C"/>
    <w:rsid w:val="004E3534"/>
    <w:rsid w:val="0050134F"/>
    <w:rsid w:val="00503DDD"/>
    <w:rsid w:val="00521E41"/>
    <w:rsid w:val="005F6C4B"/>
    <w:rsid w:val="00687C83"/>
    <w:rsid w:val="00692A3F"/>
    <w:rsid w:val="006A20C9"/>
    <w:rsid w:val="006B03EC"/>
    <w:rsid w:val="006E0AA7"/>
    <w:rsid w:val="007844A9"/>
    <w:rsid w:val="00794A7C"/>
    <w:rsid w:val="00795004"/>
    <w:rsid w:val="007976AE"/>
    <w:rsid w:val="007C0447"/>
    <w:rsid w:val="007C2643"/>
    <w:rsid w:val="00803D01"/>
    <w:rsid w:val="00805330"/>
    <w:rsid w:val="00810BAD"/>
    <w:rsid w:val="0081594E"/>
    <w:rsid w:val="008672CB"/>
    <w:rsid w:val="008B1472"/>
    <w:rsid w:val="008C0800"/>
    <w:rsid w:val="008C5A5D"/>
    <w:rsid w:val="009038DF"/>
    <w:rsid w:val="00972CFA"/>
    <w:rsid w:val="009832F0"/>
    <w:rsid w:val="009A1D0C"/>
    <w:rsid w:val="009E6C8F"/>
    <w:rsid w:val="009F30EC"/>
    <w:rsid w:val="00A06CFA"/>
    <w:rsid w:val="00A36DB8"/>
    <w:rsid w:val="00A523F7"/>
    <w:rsid w:val="00A929A1"/>
    <w:rsid w:val="00AD00AA"/>
    <w:rsid w:val="00B20DF0"/>
    <w:rsid w:val="00B615D8"/>
    <w:rsid w:val="00B96CCB"/>
    <w:rsid w:val="00BE3FAE"/>
    <w:rsid w:val="00C24B7C"/>
    <w:rsid w:val="00C257AE"/>
    <w:rsid w:val="00CD2964"/>
    <w:rsid w:val="00CD4A29"/>
    <w:rsid w:val="00D17E28"/>
    <w:rsid w:val="00D46532"/>
    <w:rsid w:val="00D52E2E"/>
    <w:rsid w:val="00D71C9A"/>
    <w:rsid w:val="00DA5390"/>
    <w:rsid w:val="00DE0F9B"/>
    <w:rsid w:val="00DF6CAB"/>
    <w:rsid w:val="00E13215"/>
    <w:rsid w:val="00E5590D"/>
    <w:rsid w:val="00E64DA4"/>
    <w:rsid w:val="00E96FA5"/>
    <w:rsid w:val="00E97F55"/>
    <w:rsid w:val="00F168BB"/>
    <w:rsid w:val="00F43EE0"/>
    <w:rsid w:val="00F4756D"/>
    <w:rsid w:val="00F56907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D4F0"/>
  <w15:chartTrackingRefBased/>
  <w15:docId w15:val="{C16A518E-A0FA-4361-820B-240EE48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9"/>
    <w:pPr>
      <w:spacing w:after="0" w:line="24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A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407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4A9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A9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4A9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5407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4A9"/>
    <w:pPr>
      <w:keepNext/>
      <w:keepLines/>
      <w:spacing w:before="40"/>
      <w:outlineLvl w:val="4"/>
    </w:pPr>
    <w:rPr>
      <w:rFonts w:ascii="Calibri" w:eastAsiaTheme="majorEastAsia" w:hAnsi="Calibri" w:cstheme="majorBidi"/>
      <w:color w:val="05407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4A9"/>
    <w:pPr>
      <w:keepNext/>
      <w:keepLines/>
      <w:spacing w:before="40"/>
      <w:outlineLvl w:val="5"/>
    </w:pPr>
    <w:rPr>
      <w:rFonts w:ascii="Calibri" w:eastAsiaTheme="majorEastAsia" w:hAnsi="Calibri" w:cstheme="majorBidi"/>
      <w:color w:val="0540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44A9"/>
    <w:pPr>
      <w:keepNext/>
      <w:keepLines/>
      <w:spacing w:before="40"/>
      <w:outlineLvl w:val="6"/>
    </w:pPr>
    <w:rPr>
      <w:rFonts w:ascii="Calibri" w:eastAsiaTheme="majorEastAsia" w:hAnsi="Calibri" w:cstheme="majorBidi"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A9"/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44A9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44A9"/>
    <w:rPr>
      <w:rFonts w:ascii="Calibri" w:eastAsiaTheme="majorEastAsia" w:hAnsi="Calibri" w:cstheme="majorBidi"/>
      <w:b/>
      <w:color w:val="054078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844A9"/>
    <w:rPr>
      <w:rFonts w:ascii="Calibri" w:eastAsiaTheme="majorEastAsia" w:hAnsi="Calibri" w:cstheme="majorBidi"/>
      <w:b/>
      <w:iCs/>
      <w:color w:val="05407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844A9"/>
    <w:rPr>
      <w:rFonts w:ascii="Calibri" w:eastAsiaTheme="majorEastAsia" w:hAnsi="Calibri" w:cstheme="majorBidi"/>
      <w:iCs/>
      <w:color w:val="1F3763" w:themeColor="accent1" w:themeShade="7F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4A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A9"/>
  </w:style>
  <w:style w:type="character" w:customStyle="1" w:styleId="HeaderChar">
    <w:name w:val="Header Char"/>
    <w:basedOn w:val="DefaultParagraphFont"/>
    <w:link w:val="Header"/>
    <w:uiPriority w:val="99"/>
    <w:rsid w:val="007844A9"/>
    <w:rPr>
      <w:sz w:val="24"/>
      <w:lang w:val="en-US"/>
    </w:rPr>
  </w:style>
  <w:style w:type="paragraph" w:styleId="NoSpacing">
    <w:name w:val="No Spacing"/>
    <w:uiPriority w:val="1"/>
    <w:qFormat/>
    <w:rsid w:val="007844A9"/>
    <w:pPr>
      <w:spacing w:after="0" w:line="240" w:lineRule="auto"/>
    </w:pPr>
    <w:rPr>
      <w:sz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6A20C9"/>
    <w:pPr>
      <w:numPr>
        <w:numId w:val="1"/>
      </w:numPr>
      <w:spacing w:before="120" w:after="12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6A20C9"/>
    <w:pPr>
      <w:spacing w:after="16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6A20C9"/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7844A9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7844A9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DDD"/>
    <w:pPr>
      <w:contextualSpacing/>
    </w:pPr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DD"/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DD"/>
    <w:pPr>
      <w:numPr>
        <w:ilvl w:val="1"/>
      </w:numPr>
      <w:spacing w:after="160"/>
    </w:pPr>
    <w:rPr>
      <w:rFonts w:eastAsiaTheme="minorEastAsia"/>
      <w:b/>
      <w:color w:val="054078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DD"/>
    <w:rPr>
      <w:rFonts w:eastAsiaTheme="minorEastAsia"/>
      <w:b/>
      <w:color w:val="054078"/>
      <w:spacing w:val="15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47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2A3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6FA5"/>
    <w:rPr>
      <w:i/>
      <w:iCs/>
      <w:color w:val="0540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540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A5"/>
    <w:rPr>
      <w:i/>
      <w:iCs/>
      <w:color w:val="054078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E96FA5"/>
    <w:rPr>
      <w:b/>
      <w:bCs/>
      <w:smallCaps/>
      <w:color w:val="054078"/>
      <w:spacing w:val="5"/>
    </w:rPr>
  </w:style>
  <w:style w:type="paragraph" w:styleId="ListParagraph">
    <w:name w:val="List Paragraph"/>
    <w:basedOn w:val="Normal"/>
    <w:uiPriority w:val="34"/>
    <w:qFormat/>
    <w:rsid w:val="00DA5390"/>
    <w:pPr>
      <w:ind w:left="720"/>
      <w:contextualSpacing/>
    </w:pPr>
  </w:style>
  <w:style w:type="table" w:styleId="TableGrid">
    <w:name w:val="Table Grid"/>
    <w:basedOn w:val="TableNormal"/>
    <w:uiPriority w:val="39"/>
    <w:rsid w:val="006A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C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smallbullet">
    <w:name w:val="small bullet"/>
    <w:basedOn w:val="Bullettext"/>
    <w:link w:val="smallbulletChar"/>
    <w:qFormat/>
    <w:rsid w:val="00B615D8"/>
    <w:pPr>
      <w:numPr>
        <w:numId w:val="3"/>
      </w:numPr>
      <w:spacing w:before="20" w:after="20"/>
    </w:pPr>
    <w:rPr>
      <w:sz w:val="22"/>
      <w:szCs w:val="18"/>
    </w:rPr>
  </w:style>
  <w:style w:type="character" w:customStyle="1" w:styleId="BullettextChar">
    <w:name w:val="Bullet text Char"/>
    <w:basedOn w:val="DefaultParagraphFont"/>
    <w:link w:val="Bullettext"/>
    <w:rsid w:val="00B615D8"/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smallbulletChar">
    <w:name w:val="small bullet Char"/>
    <w:basedOn w:val="BullettextChar"/>
    <w:link w:val="smallbullet"/>
    <w:rsid w:val="00B615D8"/>
    <w:rPr>
      <w:rFonts w:ascii="Calibri" w:eastAsiaTheme="minorEastAsia" w:hAnsi="Calibri" w:cs="Arial"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ga.org.uk/LeadingGovernance/Clerk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gi.org.uk/assets/files/competency-framework/cgiuki-comp-framework-24pp-rgb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governance-handboo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nga.org.uk/Knowledge-Centre/Governance-structure-roles-and-responsibilities/Roles-and-responsibilities/Essential-resources-for-clerks/career-pathway/clerking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the-7-principles-of-public-life/the-7-principles-of-public-life-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5" ma:contentTypeDescription="Create a new document." ma:contentTypeScope="" ma:versionID="9838b01c1ad09b53428457447af671d7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0976a4aa39a0a61dc453a94d789b33b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D66EC-F920-4AB2-A4D1-B1F9BEF57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1FE3B-90F6-4341-983E-6B9AE6EC7B73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DD6B5A6F-4CFF-4B15-A55A-52CBF8E0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4760</Characters>
  <Application>Microsoft Office Word</Application>
  <DocSecurity>2</DocSecurity>
  <Lines>93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Knowledge Centre Info Sheet</vt:lpstr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role description for governance professionals at clerking level</dc:title>
  <dc:subject/>
  <dc:creator>National Governance Association</dc:creator>
  <cp:keywords/>
  <dc:description/>
  <cp:lastModifiedBy>Ella Colley</cp:lastModifiedBy>
  <cp:revision>4</cp:revision>
  <cp:lastPrinted>2021-03-15T10:57:00Z</cp:lastPrinted>
  <dcterms:created xsi:type="dcterms:W3CDTF">2022-11-28T15:59:00Z</dcterms:created>
  <dcterms:modified xsi:type="dcterms:W3CDTF">2022-12-05T14:21:00Z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Order">
    <vt:r8>30000</vt:r8>
  </property>
  <property fmtid="{D5CDD505-2E9C-101B-9397-08002B2CF9AE}" pid="4" name="MediaServiceImageTags">
    <vt:lpwstr/>
  </property>
</Properties>
</file>